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3E498D">
      <w:pPr>
        <w:tabs>
          <w:tab w:val="left" w:pos="0"/>
        </w:tabs>
        <w:ind w:right="22"/>
        <w:contextualSpacing/>
        <w:rPr>
          <w:rFonts w:ascii="Times New Roman" w:eastAsia="Times New Roman" w:hAnsi="Times New Roman"/>
          <w:b/>
          <w:spacing w:val="-10"/>
          <w:sz w:val="26"/>
          <w:szCs w:val="26"/>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tblGrid>
      <w:tr w:rsidR="00000000">
        <w:trPr>
          <w:trHeight w:val="2023"/>
        </w:trPr>
        <w:tc>
          <w:tcPr>
            <w:tcW w:w="3936" w:type="dxa"/>
          </w:tcPr>
          <w:p w:rsidR="00000000" w:rsidRDefault="003E498D">
            <w:pPr>
              <w:tabs>
                <w:tab w:val="left" w:pos="0"/>
              </w:tabs>
              <w:ind w:right="22"/>
              <w:contextualSpacing/>
              <w:jc w:val="both"/>
              <w:rPr>
                <w:rFonts w:ascii="Times New Roman" w:eastAsia="Times New Roman" w:hAnsi="Times New Roman"/>
                <w:b/>
                <w:spacing w:val="-10"/>
                <w:sz w:val="22"/>
                <w:szCs w:val="22"/>
                <w:lang w:val="en-US"/>
              </w:rPr>
            </w:pPr>
            <w:r>
              <w:rPr>
                <w:rFonts w:ascii="Times New Roman" w:hAnsi="Times New Roman"/>
                <w:sz w:val="22"/>
                <w:szCs w:val="22"/>
              </w:rPr>
              <w:t xml:space="preserve">В публикуваната версия на това решение, някои от данните са заличени в съответствие с чл. 55, ал. 2 от ЗЗК, с който не се допуска разгласяването на производствена, търговска или друга защитена от закон тайна на страните. Заличените данни са отбелязани с  </w:t>
            </w:r>
            <w:r>
              <w:rPr>
                <w:rFonts w:ascii="Times New Roman" w:hAnsi="Times New Roman"/>
                <w:sz w:val="22"/>
                <w:szCs w:val="22"/>
              </w:rPr>
              <w:t>(...)</w:t>
            </w:r>
            <w:r>
              <w:rPr>
                <w:rFonts w:ascii="Times New Roman" w:hAnsi="Times New Roman"/>
                <w:sz w:val="22"/>
                <w:szCs w:val="22"/>
              </w:rPr>
              <w:sym w:font="Symbol" w:char="F02A"/>
            </w:r>
          </w:p>
        </w:tc>
      </w:tr>
    </w:tbl>
    <w:p w:rsidR="00000000" w:rsidRDefault="003E498D">
      <w:pPr>
        <w:tabs>
          <w:tab w:val="left" w:pos="0"/>
        </w:tabs>
        <w:ind w:right="22" w:firstLine="708"/>
        <w:contextualSpacing/>
        <w:jc w:val="center"/>
        <w:rPr>
          <w:rFonts w:ascii="Times New Roman" w:eastAsia="Times New Roman" w:hAnsi="Times New Roman"/>
          <w:b/>
          <w:spacing w:val="-10"/>
          <w:sz w:val="26"/>
          <w:szCs w:val="26"/>
          <w:lang w:val="en-US"/>
        </w:rPr>
      </w:pPr>
    </w:p>
    <w:p w:rsidR="00000000" w:rsidRDefault="003E498D">
      <w:pPr>
        <w:tabs>
          <w:tab w:val="left" w:pos="0"/>
        </w:tabs>
        <w:ind w:right="22" w:firstLine="708"/>
        <w:contextualSpacing/>
        <w:jc w:val="center"/>
        <w:rPr>
          <w:rFonts w:ascii="Times New Roman" w:eastAsia="Times New Roman" w:hAnsi="Times New Roman"/>
          <w:b/>
          <w:spacing w:val="-10"/>
          <w:sz w:val="26"/>
          <w:szCs w:val="26"/>
          <w:lang w:val="en-US"/>
        </w:rPr>
      </w:pP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r>
        <w:rPr>
          <w:rFonts w:ascii="Times New Roman" w:eastAsia="Times New Roman" w:hAnsi="Times New Roman"/>
          <w:b/>
          <w:spacing w:val="-10"/>
          <w:sz w:val="26"/>
          <w:szCs w:val="26"/>
        </w:rPr>
        <w:t>РЕПУБЛИКА БЪЛГАРИЯ</w:t>
      </w: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r>
        <w:rPr>
          <w:rFonts w:ascii="Times New Roman" w:eastAsia="Times New Roman" w:hAnsi="Times New Roman"/>
          <w:b/>
          <w:spacing w:val="-10"/>
          <w:sz w:val="26"/>
          <w:szCs w:val="26"/>
        </w:rPr>
        <w:t>КОМИСИЯ ЗА ЗАЩИТА НА КОНКУРЕНЦИЯТА</w:t>
      </w: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r>
        <w:rPr>
          <w:rFonts w:ascii="Times New Roman" w:eastAsia="Times New Roman" w:hAnsi="Times New Roman"/>
          <w:b/>
          <w:spacing w:val="-10"/>
          <w:sz w:val="26"/>
          <w:szCs w:val="26"/>
        </w:rPr>
        <w:t>Р Е Ш Е Н И Е</w:t>
      </w: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p>
    <w:p w:rsidR="00000000" w:rsidRDefault="003E498D">
      <w:pPr>
        <w:tabs>
          <w:tab w:val="left" w:pos="0"/>
        </w:tabs>
        <w:ind w:right="22" w:firstLine="708"/>
        <w:contextualSpacing/>
        <w:jc w:val="center"/>
        <w:rPr>
          <w:rFonts w:ascii="Times New Roman" w:eastAsia="Times New Roman" w:hAnsi="Times New Roman"/>
          <w:b/>
          <w:spacing w:val="-10"/>
          <w:sz w:val="26"/>
          <w:szCs w:val="26"/>
          <w:lang w:val="en-US"/>
        </w:rPr>
      </w:pPr>
      <w:r>
        <w:rPr>
          <w:rFonts w:ascii="Times New Roman" w:eastAsia="Times New Roman" w:hAnsi="Times New Roman"/>
          <w:b/>
          <w:spacing w:val="-10"/>
          <w:sz w:val="26"/>
          <w:szCs w:val="26"/>
        </w:rPr>
        <w:t xml:space="preserve">№ </w:t>
      </w:r>
      <w:r>
        <w:rPr>
          <w:rFonts w:ascii="Times New Roman" w:eastAsia="Times New Roman" w:hAnsi="Times New Roman"/>
          <w:b/>
          <w:spacing w:val="-10"/>
          <w:sz w:val="26"/>
          <w:szCs w:val="26"/>
          <w:lang w:val="en-US"/>
        </w:rPr>
        <w:t>1454</w:t>
      </w: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r>
        <w:rPr>
          <w:rFonts w:ascii="Times New Roman" w:eastAsia="Times New Roman" w:hAnsi="Times New Roman"/>
          <w:b/>
          <w:spacing w:val="-10"/>
          <w:sz w:val="26"/>
          <w:szCs w:val="26"/>
        </w:rPr>
        <w:t>гр. София, 28.10.2013 г.</w:t>
      </w: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r>
        <w:rPr>
          <w:rFonts w:ascii="Times New Roman" w:eastAsia="Times New Roman" w:hAnsi="Times New Roman"/>
          <w:b/>
          <w:spacing w:val="-10"/>
          <w:sz w:val="26"/>
          <w:szCs w:val="26"/>
        </w:rPr>
        <w:tab/>
      </w:r>
      <w:r>
        <w:rPr>
          <w:rFonts w:ascii="Times New Roman" w:eastAsia="Times New Roman" w:hAnsi="Times New Roman"/>
          <w:b/>
          <w:spacing w:val="-10"/>
          <w:sz w:val="26"/>
          <w:szCs w:val="26"/>
        </w:rPr>
        <w:tab/>
      </w:r>
      <w:r>
        <w:rPr>
          <w:rFonts w:ascii="Times New Roman" w:eastAsia="Times New Roman" w:hAnsi="Times New Roman"/>
          <w:b/>
          <w:spacing w:val="-10"/>
          <w:sz w:val="26"/>
          <w:szCs w:val="26"/>
        </w:rPr>
        <w:tab/>
      </w:r>
      <w:r>
        <w:rPr>
          <w:rFonts w:ascii="Times New Roman" w:eastAsia="Times New Roman" w:hAnsi="Times New Roman"/>
          <w:b/>
          <w:spacing w:val="-10"/>
          <w:sz w:val="26"/>
          <w:szCs w:val="26"/>
        </w:rPr>
        <w:tab/>
      </w:r>
      <w:r>
        <w:rPr>
          <w:rFonts w:ascii="Times New Roman" w:eastAsia="Times New Roman" w:hAnsi="Times New Roman"/>
          <w:b/>
          <w:spacing w:val="-10"/>
          <w:sz w:val="26"/>
          <w:szCs w:val="26"/>
        </w:rPr>
        <w:tab/>
      </w:r>
    </w:p>
    <w:p w:rsidR="00000000" w:rsidRDefault="003E498D">
      <w:pPr>
        <w:tabs>
          <w:tab w:val="left" w:pos="0"/>
        </w:tabs>
        <w:ind w:right="22" w:firstLine="708"/>
        <w:contextualSpacing/>
        <w:jc w:val="center"/>
        <w:rPr>
          <w:rFonts w:ascii="Times New Roman" w:eastAsia="Times New Roman" w:hAnsi="Times New Roman"/>
          <w:spacing w:val="-10"/>
          <w:sz w:val="26"/>
          <w:szCs w:val="26"/>
        </w:rPr>
      </w:pPr>
      <w:r>
        <w:rPr>
          <w:rFonts w:ascii="Times New Roman" w:eastAsia="Times New Roman" w:hAnsi="Times New Roman"/>
          <w:spacing w:val="-10"/>
          <w:sz w:val="26"/>
          <w:szCs w:val="26"/>
        </w:rPr>
        <w:t>Комисията за защита на конкуренцията в състав:</w:t>
      </w: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r>
        <w:rPr>
          <w:rFonts w:ascii="Times New Roman" w:eastAsia="Times New Roman" w:hAnsi="Times New Roman"/>
          <w:b/>
          <w:spacing w:val="-10"/>
          <w:sz w:val="26"/>
          <w:szCs w:val="26"/>
        </w:rPr>
        <w:t>ПРЕДСЕДАТЕЛ:</w:t>
      </w:r>
    </w:p>
    <w:p w:rsidR="00000000" w:rsidRDefault="003E498D">
      <w:pPr>
        <w:tabs>
          <w:tab w:val="left" w:pos="0"/>
        </w:tabs>
        <w:ind w:right="22" w:firstLine="708"/>
        <w:contextualSpacing/>
        <w:jc w:val="center"/>
        <w:rPr>
          <w:rFonts w:ascii="Times New Roman" w:eastAsia="Times New Roman" w:hAnsi="Times New Roman"/>
          <w:spacing w:val="-10"/>
          <w:sz w:val="26"/>
          <w:szCs w:val="26"/>
        </w:rPr>
      </w:pPr>
      <w:r>
        <w:rPr>
          <w:rFonts w:ascii="Times New Roman" w:eastAsia="Times New Roman" w:hAnsi="Times New Roman"/>
          <w:spacing w:val="-10"/>
          <w:sz w:val="26"/>
          <w:szCs w:val="26"/>
        </w:rPr>
        <w:t>Петко Николов</w:t>
      </w: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r>
        <w:rPr>
          <w:rFonts w:ascii="Times New Roman" w:eastAsia="Times New Roman" w:hAnsi="Times New Roman"/>
          <w:b/>
          <w:spacing w:val="-10"/>
          <w:sz w:val="26"/>
          <w:szCs w:val="26"/>
        </w:rPr>
        <w:t>ЗАМ.-ПРЕДСЕДАТЕЛ :</w:t>
      </w:r>
    </w:p>
    <w:p w:rsidR="00000000" w:rsidRDefault="003E498D">
      <w:pPr>
        <w:tabs>
          <w:tab w:val="left" w:pos="0"/>
        </w:tabs>
        <w:ind w:right="22" w:firstLine="708"/>
        <w:contextualSpacing/>
        <w:jc w:val="center"/>
        <w:rPr>
          <w:rFonts w:ascii="Times New Roman" w:eastAsia="Times New Roman" w:hAnsi="Times New Roman"/>
          <w:spacing w:val="-10"/>
          <w:sz w:val="26"/>
          <w:szCs w:val="26"/>
        </w:rPr>
      </w:pPr>
      <w:r>
        <w:rPr>
          <w:rFonts w:ascii="Times New Roman" w:eastAsia="Times New Roman" w:hAnsi="Times New Roman"/>
          <w:spacing w:val="-10"/>
          <w:sz w:val="26"/>
          <w:szCs w:val="26"/>
        </w:rPr>
        <w:t>Ангелина Милева</w:t>
      </w: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r>
        <w:rPr>
          <w:rFonts w:ascii="Times New Roman" w:eastAsia="Times New Roman" w:hAnsi="Times New Roman"/>
          <w:b/>
          <w:spacing w:val="-10"/>
          <w:sz w:val="26"/>
          <w:szCs w:val="26"/>
        </w:rPr>
        <w:t>ЧЛЕНОВЕ:</w:t>
      </w:r>
    </w:p>
    <w:p w:rsidR="00000000" w:rsidRDefault="003E498D">
      <w:pPr>
        <w:tabs>
          <w:tab w:val="left" w:pos="0"/>
        </w:tabs>
        <w:ind w:right="22" w:firstLine="708"/>
        <w:contextualSpacing/>
        <w:jc w:val="center"/>
        <w:rPr>
          <w:rFonts w:ascii="Times New Roman" w:eastAsia="Times New Roman" w:hAnsi="Times New Roman"/>
          <w:spacing w:val="-10"/>
          <w:sz w:val="26"/>
          <w:szCs w:val="26"/>
        </w:rPr>
      </w:pPr>
      <w:r>
        <w:rPr>
          <w:rFonts w:ascii="Times New Roman" w:eastAsia="Times New Roman" w:hAnsi="Times New Roman"/>
          <w:spacing w:val="-10"/>
          <w:sz w:val="26"/>
          <w:szCs w:val="26"/>
        </w:rPr>
        <w:t>Александър Ал</w:t>
      </w:r>
      <w:r>
        <w:rPr>
          <w:rFonts w:ascii="Times New Roman" w:eastAsia="Times New Roman" w:hAnsi="Times New Roman"/>
          <w:spacing w:val="-10"/>
          <w:sz w:val="26"/>
          <w:szCs w:val="26"/>
        </w:rPr>
        <w:t>ександров</w:t>
      </w:r>
    </w:p>
    <w:p w:rsidR="00000000" w:rsidRDefault="003E498D">
      <w:pPr>
        <w:tabs>
          <w:tab w:val="left" w:pos="0"/>
        </w:tabs>
        <w:ind w:right="22" w:firstLine="708"/>
        <w:contextualSpacing/>
        <w:jc w:val="center"/>
        <w:rPr>
          <w:rFonts w:ascii="Times New Roman" w:eastAsia="Times New Roman" w:hAnsi="Times New Roman"/>
          <w:spacing w:val="-10"/>
          <w:sz w:val="26"/>
          <w:szCs w:val="26"/>
        </w:rPr>
      </w:pPr>
      <w:r>
        <w:rPr>
          <w:rFonts w:ascii="Times New Roman" w:eastAsia="Times New Roman" w:hAnsi="Times New Roman"/>
          <w:spacing w:val="-10"/>
          <w:sz w:val="26"/>
          <w:szCs w:val="26"/>
        </w:rPr>
        <w:t>Елена Димова</w:t>
      </w:r>
    </w:p>
    <w:p w:rsidR="00000000" w:rsidRDefault="003E498D">
      <w:pPr>
        <w:tabs>
          <w:tab w:val="left" w:pos="0"/>
        </w:tabs>
        <w:ind w:right="22" w:firstLine="708"/>
        <w:contextualSpacing/>
        <w:jc w:val="center"/>
        <w:rPr>
          <w:rFonts w:ascii="Times New Roman" w:eastAsia="Times New Roman" w:hAnsi="Times New Roman"/>
          <w:spacing w:val="-10"/>
          <w:sz w:val="26"/>
          <w:szCs w:val="26"/>
        </w:rPr>
      </w:pPr>
      <w:r>
        <w:rPr>
          <w:rFonts w:ascii="Times New Roman" w:eastAsia="Times New Roman" w:hAnsi="Times New Roman"/>
          <w:spacing w:val="-10"/>
          <w:sz w:val="26"/>
          <w:szCs w:val="26"/>
        </w:rPr>
        <w:t>Зорница Иванова</w:t>
      </w:r>
    </w:p>
    <w:p w:rsidR="00000000" w:rsidRDefault="003E498D">
      <w:pPr>
        <w:tabs>
          <w:tab w:val="left" w:pos="0"/>
        </w:tabs>
        <w:ind w:right="22" w:firstLine="708"/>
        <w:contextualSpacing/>
        <w:jc w:val="center"/>
        <w:rPr>
          <w:rFonts w:ascii="Times New Roman" w:eastAsia="Times New Roman" w:hAnsi="Times New Roman"/>
          <w:spacing w:val="-10"/>
          <w:sz w:val="26"/>
          <w:szCs w:val="26"/>
        </w:rPr>
      </w:pPr>
      <w:r>
        <w:rPr>
          <w:rFonts w:ascii="Times New Roman" w:eastAsia="Times New Roman" w:hAnsi="Times New Roman"/>
          <w:spacing w:val="-10"/>
          <w:sz w:val="26"/>
          <w:szCs w:val="26"/>
        </w:rPr>
        <w:t>Петя Велчева</w:t>
      </w: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p>
    <w:p w:rsidR="00000000" w:rsidRDefault="003E498D">
      <w:pPr>
        <w:tabs>
          <w:tab w:val="left" w:pos="0"/>
        </w:tabs>
        <w:ind w:right="22" w:firstLine="708"/>
        <w:contextualSpacing/>
        <w:jc w:val="center"/>
        <w:rPr>
          <w:rFonts w:ascii="Times New Roman" w:eastAsia="Times New Roman" w:hAnsi="Times New Roman"/>
          <w:b/>
          <w:spacing w:val="-10"/>
          <w:sz w:val="26"/>
          <w:szCs w:val="26"/>
        </w:rPr>
      </w:pPr>
    </w:p>
    <w:p w:rsidR="00000000" w:rsidRDefault="003E498D">
      <w:pPr>
        <w:tabs>
          <w:tab w:val="left" w:pos="0"/>
        </w:tabs>
        <w:ind w:right="22" w:firstLine="708"/>
        <w:contextualSpacing/>
        <w:jc w:val="both"/>
        <w:rPr>
          <w:rFonts w:ascii="Times New Roman" w:eastAsia="Times New Roman" w:hAnsi="Times New Roman"/>
          <w:sz w:val="26"/>
          <w:szCs w:val="26"/>
        </w:rPr>
      </w:pPr>
      <w:r>
        <w:rPr>
          <w:rFonts w:ascii="Times New Roman" w:eastAsia="Times New Roman" w:hAnsi="Times New Roman"/>
          <w:spacing w:val="-10"/>
          <w:sz w:val="26"/>
          <w:szCs w:val="26"/>
        </w:rPr>
        <w:t>при секретар – протоколист Златимира Стайкова, разгледа в закрито заседание на 2</w:t>
      </w:r>
      <w:r>
        <w:rPr>
          <w:rFonts w:ascii="Times New Roman" w:eastAsia="Times New Roman" w:hAnsi="Times New Roman"/>
          <w:spacing w:val="-10"/>
          <w:sz w:val="26"/>
          <w:szCs w:val="26"/>
          <w:lang w:val="en-US"/>
        </w:rPr>
        <w:t>8</w:t>
      </w:r>
      <w:r>
        <w:rPr>
          <w:rFonts w:ascii="Times New Roman" w:eastAsia="Times New Roman" w:hAnsi="Times New Roman"/>
          <w:spacing w:val="-10"/>
          <w:sz w:val="26"/>
          <w:szCs w:val="26"/>
        </w:rPr>
        <w:t>.1</w:t>
      </w:r>
      <w:r>
        <w:rPr>
          <w:rFonts w:ascii="Times New Roman" w:eastAsia="Times New Roman" w:hAnsi="Times New Roman"/>
          <w:spacing w:val="-10"/>
          <w:sz w:val="26"/>
          <w:szCs w:val="26"/>
          <w:lang w:val="en-US"/>
        </w:rPr>
        <w:t>0</w:t>
      </w:r>
      <w:r>
        <w:rPr>
          <w:rFonts w:ascii="Times New Roman" w:eastAsia="Times New Roman" w:hAnsi="Times New Roman"/>
          <w:spacing w:val="-10"/>
          <w:sz w:val="26"/>
          <w:szCs w:val="26"/>
        </w:rPr>
        <w:t>.201</w:t>
      </w:r>
      <w:r>
        <w:rPr>
          <w:rFonts w:ascii="Times New Roman" w:eastAsia="Times New Roman" w:hAnsi="Times New Roman"/>
          <w:spacing w:val="-10"/>
          <w:sz w:val="26"/>
          <w:szCs w:val="26"/>
          <w:lang w:val="en-US"/>
        </w:rPr>
        <w:t>3</w:t>
      </w:r>
      <w:r>
        <w:rPr>
          <w:rFonts w:ascii="Times New Roman" w:eastAsia="Times New Roman" w:hAnsi="Times New Roman"/>
          <w:spacing w:val="-10"/>
          <w:sz w:val="26"/>
          <w:szCs w:val="26"/>
        </w:rPr>
        <w:t>г. преписка, № КЗК/12</w:t>
      </w:r>
      <w:r>
        <w:rPr>
          <w:rFonts w:ascii="Times New Roman" w:eastAsia="Times New Roman" w:hAnsi="Times New Roman"/>
          <w:spacing w:val="-10"/>
          <w:sz w:val="26"/>
          <w:szCs w:val="26"/>
          <w:lang w:val="en-US"/>
        </w:rPr>
        <w:t>10</w:t>
      </w:r>
      <w:r>
        <w:rPr>
          <w:rFonts w:ascii="Times New Roman" w:eastAsia="Times New Roman" w:hAnsi="Times New Roman"/>
          <w:spacing w:val="-10"/>
          <w:sz w:val="26"/>
          <w:szCs w:val="26"/>
        </w:rPr>
        <w:t>/2011г., докладвана от наблюдаващият зам.председател на Комисията - г-жа Ангелина Милева.</w:t>
      </w:r>
    </w:p>
    <w:p w:rsidR="00000000" w:rsidRDefault="003E498D">
      <w:pPr>
        <w:tabs>
          <w:tab w:val="left" w:pos="0"/>
        </w:tabs>
        <w:ind w:right="22" w:firstLine="708"/>
        <w:contextualSpacing/>
        <w:jc w:val="both"/>
        <w:rPr>
          <w:rFonts w:ascii="Times New Roman" w:eastAsia="Times New Roman" w:hAnsi="Times New Roman"/>
          <w:sz w:val="26"/>
          <w:szCs w:val="26"/>
        </w:rPr>
      </w:pPr>
    </w:p>
    <w:p w:rsidR="00000000" w:rsidRDefault="003E498D">
      <w:pPr>
        <w:tabs>
          <w:tab w:val="left" w:pos="0"/>
        </w:tabs>
        <w:ind w:right="22" w:firstLine="708"/>
        <w:contextualSpacing/>
        <w:jc w:val="both"/>
        <w:rPr>
          <w:rFonts w:ascii="Times New Roman" w:eastAsia="Times New Roman" w:hAnsi="Times New Roman"/>
          <w:sz w:val="26"/>
          <w:szCs w:val="26"/>
        </w:rPr>
      </w:pPr>
    </w:p>
    <w:p w:rsidR="00000000" w:rsidRDefault="003E498D">
      <w:pPr>
        <w:ind w:firstLine="708"/>
        <w:contextualSpacing/>
        <w:jc w:val="both"/>
        <w:rPr>
          <w:rFonts w:ascii="Times New Roman" w:eastAsia="Times New Roman" w:hAnsi="Times New Roman"/>
          <w:sz w:val="26"/>
          <w:szCs w:val="26"/>
        </w:rPr>
      </w:pPr>
      <w:r>
        <w:rPr>
          <w:rFonts w:ascii="Times New Roman" w:eastAsia="Times New Roman" w:hAnsi="Times New Roman"/>
          <w:sz w:val="26"/>
          <w:szCs w:val="26"/>
        </w:rPr>
        <w:t xml:space="preserve">С Решение № 1417/13.10.11 г. Комисия за защита на конкуренцията, на основание чл. 38, ал. 1, т. 1 от ЗЗК, във връзка с чл. 27 и чл. 91, ал. 1 ЗЗК,  постанови образуване на производство № КЗК – 1210/2011 г. за извършване на </w:t>
      </w:r>
      <w:r>
        <w:rPr>
          <w:rFonts w:ascii="Times New Roman" w:eastAsia="Times New Roman" w:hAnsi="Times New Roman"/>
          <w:sz w:val="26"/>
          <w:szCs w:val="26"/>
        </w:rPr>
        <w:lastRenderedPageBreak/>
        <w:t>секторен анализ на конкурентнат</w:t>
      </w:r>
      <w:r>
        <w:rPr>
          <w:rFonts w:ascii="Times New Roman" w:eastAsia="Times New Roman" w:hAnsi="Times New Roman"/>
          <w:sz w:val="26"/>
          <w:szCs w:val="26"/>
        </w:rPr>
        <w:t>а среда в сектора на разпространение на вестници и печатни издания.</w:t>
      </w:r>
    </w:p>
    <w:p w:rsidR="00000000" w:rsidRDefault="003E498D">
      <w:pPr>
        <w:ind w:firstLine="708"/>
        <w:contextualSpacing/>
        <w:jc w:val="both"/>
        <w:rPr>
          <w:rFonts w:ascii="Times New Roman" w:eastAsia="Times New Roman" w:hAnsi="Times New Roman"/>
          <w:sz w:val="26"/>
          <w:szCs w:val="26"/>
        </w:rPr>
      </w:pPr>
    </w:p>
    <w:p w:rsidR="00000000" w:rsidRDefault="003E498D">
      <w:pPr>
        <w:ind w:firstLine="708"/>
        <w:contextualSpacing/>
        <w:jc w:val="both"/>
        <w:rPr>
          <w:rFonts w:ascii="Times New Roman" w:hAnsi="Times New Roman"/>
          <w:sz w:val="26"/>
          <w:szCs w:val="26"/>
        </w:rPr>
      </w:pPr>
      <w:r>
        <w:rPr>
          <w:rFonts w:ascii="Times New Roman" w:eastAsia="Times New Roman" w:hAnsi="Times New Roman"/>
          <w:sz w:val="26"/>
          <w:szCs w:val="26"/>
        </w:rPr>
        <w:t xml:space="preserve">С Протокол № 2014/08.12.2011г. КЗК прие и План за извършване на секторния анализ за периода 01.01.2009 г. - 31.12.2011 г.  </w:t>
      </w:r>
    </w:p>
    <w:p w:rsidR="00000000" w:rsidRDefault="003E498D">
      <w:pPr>
        <w:contextualSpacing/>
        <w:rPr>
          <w:rFonts w:ascii="Times New Roman" w:hAnsi="Times New Roman"/>
          <w:sz w:val="26"/>
          <w:szCs w:val="26"/>
        </w:rPr>
      </w:pPr>
    </w:p>
    <w:p w:rsidR="00000000" w:rsidRDefault="003E498D">
      <w:pPr>
        <w:contextualSpacing/>
        <w:rPr>
          <w:rFonts w:ascii="Times New Roman" w:hAnsi="Times New Roman"/>
          <w:b/>
          <w:sz w:val="26"/>
          <w:szCs w:val="26"/>
        </w:rPr>
      </w:pPr>
      <w:r>
        <w:rPr>
          <w:rFonts w:ascii="Times New Roman" w:hAnsi="Times New Roman"/>
          <w:b/>
          <w:sz w:val="26"/>
          <w:szCs w:val="26"/>
        </w:rPr>
        <w:t>І. Въведение</w:t>
      </w:r>
    </w:p>
    <w:p w:rsidR="00000000" w:rsidRDefault="003E498D">
      <w:pPr>
        <w:pStyle w:val="Heading2"/>
        <w:spacing w:before="0"/>
        <w:contextualSpacing/>
        <w:rPr>
          <w:rFonts w:ascii="Times New Roman" w:hAnsi="Times New Roman"/>
        </w:rPr>
      </w:pPr>
      <w:r>
        <w:rPr>
          <w:rFonts w:ascii="Times New Roman" w:hAnsi="Times New Roman"/>
          <w:color w:val="auto"/>
        </w:rPr>
        <w:t>1.1. Цели на проучването</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Повод за иницииране на с</w:t>
      </w:r>
      <w:r>
        <w:rPr>
          <w:rFonts w:ascii="Times New Roman" w:hAnsi="Times New Roman"/>
          <w:sz w:val="26"/>
          <w:szCs w:val="26"/>
        </w:rPr>
        <w:t>екторния анализ на конкурентната среда в сектора на разпространение на вестници и печатни издания са поредицата публикации в средствата за масова информация, както и постъпили в КЗК сигнали, свързани с предприети действия от големи дистрибутори на едро и д</w:t>
      </w:r>
      <w:r>
        <w:rPr>
          <w:rFonts w:ascii="Times New Roman" w:hAnsi="Times New Roman"/>
          <w:sz w:val="26"/>
          <w:szCs w:val="26"/>
        </w:rPr>
        <w:t>ребно на вестници и списания, целящи ограничаване продажбите на основни периодични издания. След извършването на предварително проучване, Комисията стигна до заключението, че откроените в сигналите структурни проблеми, произтичащи от фактическата зависимос</w:t>
      </w:r>
      <w:r>
        <w:rPr>
          <w:rFonts w:ascii="Times New Roman" w:hAnsi="Times New Roman"/>
          <w:sz w:val="26"/>
          <w:szCs w:val="26"/>
        </w:rPr>
        <w:t>т на дистрибуторите на дребно на вестници и печатни издания от техните доставчици, биха били изследвани в по-пълна степен в рамките на секторен анализ.</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Средствата за масова информация, в частност печатните издания, се явяват посредник на идеи и информация </w:t>
      </w:r>
      <w:r>
        <w:rPr>
          <w:rFonts w:ascii="Times New Roman" w:hAnsi="Times New Roman"/>
          <w:sz w:val="26"/>
          <w:szCs w:val="26"/>
        </w:rPr>
        <w:t>и фактор за формиране на и въздействие върху общественото мнение. Предвид  значимостта и ролята на медиите и правото на гражданите да имат свободен достъп до тях, основната цел на настоящия секторен анализ е да проучи и проследи веригата, по която печатнит</w:t>
      </w:r>
      <w:r>
        <w:rPr>
          <w:rFonts w:ascii="Times New Roman" w:hAnsi="Times New Roman"/>
          <w:sz w:val="26"/>
          <w:szCs w:val="26"/>
        </w:rPr>
        <w:t>е издания достигат до читателската аудитория. С оглед постъпилите сигнали и публикации в пресата, анализът цели основно задълбочено проучване на отношенията между издател-дистрибутор на едро-дистрибутор на дребно при разпространяването на печатните издания</w:t>
      </w:r>
      <w:r>
        <w:rPr>
          <w:rFonts w:ascii="Times New Roman" w:hAnsi="Times New Roman"/>
          <w:sz w:val="26"/>
          <w:szCs w:val="26"/>
        </w:rPr>
        <w:t xml:space="preserve"> до тяхната реализация на крайния клиент/читател.</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 Настоящият анализ има за цел да установи дали за анализирания период са настъпили промени в начина на функциониране на този процес, доколко тези промени са съществени и какви са причините за тяхната поява.</w:t>
      </w:r>
      <w:r>
        <w:rPr>
          <w:rFonts w:ascii="Times New Roman" w:hAnsi="Times New Roman"/>
          <w:sz w:val="26"/>
          <w:szCs w:val="26"/>
        </w:rPr>
        <w:t xml:space="preserve"> В качеството си на национален орган за защита на конкуренцията, Комисията при открояването на евентуални промени трябва да съсредоточи своя анализ и върху това по какъв начин те са дали отражение върху конкурентната среда на ниво разпространение на печатн</w:t>
      </w:r>
      <w:r>
        <w:rPr>
          <w:rFonts w:ascii="Times New Roman" w:hAnsi="Times New Roman"/>
          <w:sz w:val="26"/>
          <w:szCs w:val="26"/>
        </w:rPr>
        <w:t>ите издания на едро и на дребно. Извършването на цялостен анализ на конкурентната среда има за задача да открои евентуални проблеми в сектора, свързани с отношенията по хоризонтала (между конкурентите - разпространители) и по вертикала между издател на печ</w:t>
      </w:r>
      <w:r>
        <w:rPr>
          <w:rFonts w:ascii="Times New Roman" w:hAnsi="Times New Roman"/>
          <w:sz w:val="26"/>
          <w:szCs w:val="26"/>
        </w:rPr>
        <w:t xml:space="preserve">атното издание (вестник/списание) - разпространител на едро - разпространител на дребно. </w:t>
      </w:r>
    </w:p>
    <w:p w:rsidR="00000000" w:rsidRDefault="003E498D">
      <w:pPr>
        <w:ind w:firstLine="708"/>
        <w:contextualSpacing/>
        <w:jc w:val="both"/>
        <w:rPr>
          <w:rFonts w:ascii="Times New Roman" w:hAnsi="Times New Roman"/>
          <w:sz w:val="26"/>
          <w:szCs w:val="26"/>
        </w:rPr>
      </w:pPr>
    </w:p>
    <w:p w:rsidR="00000000" w:rsidRDefault="003E498D">
      <w:pPr>
        <w:pStyle w:val="Heading2"/>
        <w:spacing w:before="0"/>
        <w:contextualSpacing/>
        <w:rPr>
          <w:rFonts w:ascii="Times New Roman" w:hAnsi="Times New Roman"/>
          <w:i/>
        </w:rPr>
      </w:pPr>
      <w:r>
        <w:rPr>
          <w:rFonts w:ascii="Times New Roman" w:hAnsi="Times New Roman"/>
          <w:color w:val="auto"/>
        </w:rPr>
        <w:t>1.2. Подход при извършване на проучването</w:t>
      </w:r>
    </w:p>
    <w:p w:rsidR="00000000" w:rsidRDefault="003E498D">
      <w:pPr>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За целите на настоящия секторен анализ, Комисията подготви подробни въпросници с искане на данни и документи до основни уч</w:t>
      </w:r>
      <w:r>
        <w:rPr>
          <w:rFonts w:ascii="Times New Roman" w:hAnsi="Times New Roman"/>
          <w:sz w:val="26"/>
          <w:szCs w:val="26"/>
        </w:rPr>
        <w:t xml:space="preserve">астници, опериращи в определен регион, и такива, доставящи печатни издания в повече от едно населено място. Обобщено, бе изискана информация от </w:t>
      </w:r>
      <w:r>
        <w:rPr>
          <w:rFonts w:ascii="Times New Roman" w:hAnsi="Times New Roman"/>
          <w:b/>
          <w:sz w:val="26"/>
          <w:szCs w:val="26"/>
        </w:rPr>
        <w:t>общо 31 разпространители на едро и на дребно</w:t>
      </w:r>
      <w:r>
        <w:rPr>
          <w:rFonts w:ascii="Times New Roman" w:hAnsi="Times New Roman"/>
          <w:sz w:val="26"/>
          <w:szCs w:val="26"/>
        </w:rPr>
        <w:t xml:space="preserve">, както и от </w:t>
      </w:r>
      <w:r>
        <w:rPr>
          <w:rFonts w:ascii="Times New Roman" w:hAnsi="Times New Roman"/>
          <w:b/>
          <w:sz w:val="26"/>
          <w:szCs w:val="26"/>
        </w:rPr>
        <w:t>общо 27 издатели</w:t>
      </w:r>
      <w:r>
        <w:rPr>
          <w:rFonts w:ascii="Times New Roman" w:hAnsi="Times New Roman"/>
          <w:sz w:val="26"/>
          <w:szCs w:val="26"/>
        </w:rPr>
        <w:t xml:space="preserve"> (на </w:t>
      </w:r>
      <w:r>
        <w:rPr>
          <w:rFonts w:ascii="Times New Roman" w:hAnsi="Times New Roman"/>
          <w:sz w:val="26"/>
          <w:szCs w:val="26"/>
        </w:rPr>
        <w:lastRenderedPageBreak/>
        <w:t xml:space="preserve">национални и регионални издания). </w:t>
      </w:r>
      <w:r>
        <w:rPr>
          <w:rFonts w:ascii="Times New Roman" w:hAnsi="Times New Roman"/>
          <w:sz w:val="26"/>
          <w:szCs w:val="26"/>
        </w:rPr>
        <w:t>Становище и информация бе поискана и от двата холдинга – „Медийна Група България-Холдинг“ ООД (</w:t>
      </w:r>
      <w:r>
        <w:rPr>
          <w:rFonts w:ascii="Times New Roman" w:hAnsi="Times New Roman"/>
          <w:b/>
          <w:sz w:val="26"/>
          <w:szCs w:val="26"/>
        </w:rPr>
        <w:t>МГБХ</w:t>
      </w:r>
      <w:r>
        <w:rPr>
          <w:rFonts w:ascii="Times New Roman" w:hAnsi="Times New Roman"/>
          <w:sz w:val="26"/>
          <w:szCs w:val="26"/>
        </w:rPr>
        <w:t>) и „Нова Българска Медийна Група Холдинг“ ЕАД (</w:t>
      </w:r>
      <w:r>
        <w:rPr>
          <w:rFonts w:ascii="Times New Roman" w:hAnsi="Times New Roman"/>
          <w:b/>
          <w:sz w:val="26"/>
          <w:szCs w:val="26"/>
        </w:rPr>
        <w:t>НБМГХ</w:t>
      </w:r>
      <w:r>
        <w:rPr>
          <w:rFonts w:ascii="Times New Roman" w:hAnsi="Times New Roman"/>
          <w:sz w:val="26"/>
          <w:szCs w:val="26"/>
        </w:rPr>
        <w:t>).</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За установяване нивото на вертикална интегрираност в сектора, бе поискана информация за участието на </w:t>
      </w:r>
      <w:r>
        <w:rPr>
          <w:rFonts w:ascii="Times New Roman" w:hAnsi="Times New Roman"/>
          <w:sz w:val="26"/>
          <w:szCs w:val="26"/>
        </w:rPr>
        <w:t xml:space="preserve">анкетираните предприятия (даващи им контролни права и/или имащи миноритарно участие) в капитала на други дружества, опериращи в сектора.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За очертаване структурата на пазара, нивото на концентрация в сектора, условията за навлизане на всяко едно ниво от ра</w:t>
      </w:r>
      <w:r>
        <w:rPr>
          <w:rFonts w:ascii="Times New Roman" w:hAnsi="Times New Roman"/>
          <w:sz w:val="26"/>
          <w:szCs w:val="26"/>
        </w:rPr>
        <w:t>зпространението на печатни издания и определяне пазарното положение на основните разпространители, Комисията изиска да бъде представена следната информация и документи: размер на приходите и разходите на дружествата по разпространението на печатни издания;</w:t>
      </w:r>
      <w:r>
        <w:rPr>
          <w:rFonts w:ascii="Times New Roman" w:hAnsi="Times New Roman"/>
          <w:sz w:val="26"/>
          <w:szCs w:val="26"/>
        </w:rPr>
        <w:t xml:space="preserve"> данни за доставен и реализиран тираж; за получените и предоставени търговски отстъпки (ТО); размер на нереализирана стока; транспортните маршрути, по които се разпространяват изданията; брой и местонахождение на складове/депа и  на крайни обекти/пунктове </w:t>
      </w:r>
      <w:r>
        <w:rPr>
          <w:rFonts w:ascii="Times New Roman" w:hAnsi="Times New Roman"/>
          <w:sz w:val="26"/>
          <w:szCs w:val="26"/>
        </w:rPr>
        <w:t>за продажба на печатни издания; договори по доставката и разпространение на печатни издания; ГФО/КГФО и пояснителни бележки към тях и др., посочване на конкретни конкурентни проблеми и препоръки за тяхното елиминиране и стратегия за бъдещо развитие на тяхн</w:t>
      </w:r>
      <w:r>
        <w:rPr>
          <w:rFonts w:ascii="Times New Roman" w:hAnsi="Times New Roman"/>
          <w:sz w:val="26"/>
          <w:szCs w:val="26"/>
        </w:rPr>
        <w:t xml:space="preserve">ата дейност.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За очертаване на спецификите при разпространение на регионалните печатни издания, спрямо тези с национален обхват, и открояване на съществуващи проблеми в сектора и препоръки за тяхното отстраняване бяха поискани становища от действащи браншо</w:t>
      </w:r>
      <w:r>
        <w:rPr>
          <w:rFonts w:ascii="Times New Roman" w:hAnsi="Times New Roman"/>
          <w:sz w:val="26"/>
          <w:szCs w:val="26"/>
        </w:rPr>
        <w:t xml:space="preserve">ви организации – „Съюз на издателите в България“, „Български медиен съюз“ и „Българска асоциация на регионалните медии“ (БАРМ). Същите не предоставиха в Комисията допълнително изисканата след образуването на секторния анализ информация.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При изготвянето на</w:t>
      </w:r>
      <w:r>
        <w:rPr>
          <w:rFonts w:ascii="Times New Roman" w:hAnsi="Times New Roman"/>
          <w:sz w:val="26"/>
          <w:szCs w:val="26"/>
        </w:rPr>
        <w:t xml:space="preserve"> секторния анализ Комисията се позовава на практиката на КЗК  и на ВАС, както и на Европейската комисия и анализи на други национални органи по конкуренция (OFT, Великобритания).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С оглед събиране на данни за общия обем на пазара по издаване на вестници и </w:t>
      </w:r>
      <w:r>
        <w:rPr>
          <w:rFonts w:ascii="Times New Roman" w:hAnsi="Times New Roman"/>
          <w:sz w:val="26"/>
          <w:szCs w:val="26"/>
        </w:rPr>
        <w:t>списания, бе използвана информацията от НСИ, публикувана на електронната страница на института. Също така, освен от анкетираните участници, бяха поискани и данни за отпечатания тираж от основните печатници с местонахождение в гр. София, които отпечатват на</w:t>
      </w:r>
      <w:r>
        <w:rPr>
          <w:rFonts w:ascii="Times New Roman" w:hAnsi="Times New Roman"/>
          <w:sz w:val="26"/>
          <w:szCs w:val="26"/>
        </w:rPr>
        <w:t>ционални ежедневници и седмичници (ИПК „Родина“ АД, „Печатница София“ ЕООД, „Алианс Медиапринт“ АД (бившата печатница Дружба) и печатниците на „Алианс Принт“ ООД, „Спектър“ АД, „Ропринт“ ЕАД, „Нюзпринт“ ЕООД и „Делта Хай Принт“ ЕАД, гр. Пловдив). От запита</w:t>
      </w:r>
      <w:r>
        <w:rPr>
          <w:rFonts w:ascii="Times New Roman" w:hAnsi="Times New Roman"/>
          <w:sz w:val="26"/>
          <w:szCs w:val="26"/>
        </w:rPr>
        <w:t xml:space="preserve">ните печатници единствено ИПК „Родина“ не е предоставило информация.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Във връзка с възникналите в хода на анализа трудности по получаването на цялата изискана от КЗК информация, на 06.07.12 г. се проведе среща в сградата на Комисията с основните вертикално</w:t>
      </w:r>
      <w:r>
        <w:rPr>
          <w:rFonts w:ascii="Times New Roman" w:hAnsi="Times New Roman"/>
          <w:sz w:val="26"/>
          <w:szCs w:val="26"/>
        </w:rPr>
        <w:t xml:space="preserve"> интегрирани групи и разпространители на едро, с цел разясняване на поисканата информация и поясняване на нейното значение при изготвянето на крайните заключения от органа по конкуренция.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lastRenderedPageBreak/>
        <w:t>Въпреки изпратените напомнителни писма за предоставяне на необходи</w:t>
      </w:r>
      <w:r>
        <w:rPr>
          <w:rFonts w:ascii="Times New Roman" w:hAnsi="Times New Roman"/>
          <w:sz w:val="26"/>
          <w:szCs w:val="26"/>
        </w:rPr>
        <w:t>мата информация и документи, след проверка и обобщение на постъпилите отговори се установи, че една част от запитаните дружества (издатели/разпространители) не са предоставили в КЗК никакъв отговор („Монитор“ ЕООД; „Политика днес“ ЕООД; „АС Медия“ АД; „7 д</w:t>
      </w:r>
      <w:r>
        <w:rPr>
          <w:rFonts w:ascii="Times New Roman" w:hAnsi="Times New Roman"/>
          <w:sz w:val="26"/>
          <w:szCs w:val="26"/>
        </w:rPr>
        <w:t>ни спорт“ ЕООД; „Агенция Ева“ ООД; издателството на в-к „Атака“; „Жак Прес“ ООД; „Дибо 97“ ООД</w:t>
      </w:r>
      <w:r>
        <w:rPr>
          <w:rStyle w:val="FootnoteReference"/>
          <w:rFonts w:ascii="Times New Roman" w:hAnsi="Times New Roman"/>
          <w:sz w:val="26"/>
          <w:szCs w:val="26"/>
        </w:rPr>
        <w:footnoteReference w:id="1"/>
      </w:r>
      <w:r>
        <w:rPr>
          <w:rFonts w:ascii="Times New Roman" w:hAnsi="Times New Roman"/>
          <w:sz w:val="26"/>
          <w:szCs w:val="26"/>
        </w:rPr>
        <w:t>; „Дори 97“ ЕООД; „Баев“ ЕООД</w:t>
      </w:r>
      <w:r>
        <w:rPr>
          <w:rStyle w:val="FootnoteReference"/>
          <w:rFonts w:ascii="Times New Roman" w:hAnsi="Times New Roman"/>
          <w:sz w:val="26"/>
          <w:szCs w:val="26"/>
        </w:rPr>
        <w:footnoteReference w:id="2"/>
      </w:r>
      <w:r>
        <w:rPr>
          <w:rFonts w:ascii="Times New Roman" w:hAnsi="Times New Roman"/>
          <w:sz w:val="26"/>
          <w:szCs w:val="26"/>
        </w:rPr>
        <w:t>; ЕТ „Холиролс-Георги Ефремов“</w:t>
      </w:r>
      <w:r>
        <w:rPr>
          <w:rStyle w:val="FootnoteReference"/>
          <w:rFonts w:ascii="Times New Roman" w:hAnsi="Times New Roman"/>
          <w:sz w:val="26"/>
          <w:szCs w:val="26"/>
        </w:rPr>
        <w:footnoteReference w:id="3"/>
      </w:r>
      <w:r>
        <w:rPr>
          <w:rFonts w:ascii="Times New Roman" w:hAnsi="Times New Roman"/>
          <w:sz w:val="26"/>
          <w:szCs w:val="26"/>
        </w:rPr>
        <w:t>;ЕТ „Силвия-Тончо Гочев“; „Ел Ес Травъл Ритейл България“ ЕООД, „Пресзона“ ЕООД</w:t>
      </w:r>
      <w:r>
        <w:rPr>
          <w:rStyle w:val="FootnoteReference"/>
          <w:rFonts w:ascii="Times New Roman" w:hAnsi="Times New Roman"/>
          <w:sz w:val="26"/>
          <w:szCs w:val="26"/>
        </w:rPr>
        <w:footnoteReference w:id="4"/>
      </w:r>
      <w:r>
        <w:rPr>
          <w:rFonts w:ascii="Times New Roman" w:hAnsi="Times New Roman"/>
          <w:sz w:val="26"/>
          <w:szCs w:val="26"/>
        </w:rPr>
        <w:t>).  Други са изготвил</w:t>
      </w:r>
      <w:r>
        <w:rPr>
          <w:rFonts w:ascii="Times New Roman" w:hAnsi="Times New Roman"/>
          <w:sz w:val="26"/>
          <w:szCs w:val="26"/>
        </w:rPr>
        <w:t>и частичен отговор на поставените въпроси („Агенция Стрела“ ЕООД, „Национална Агенция Разпространение“ ЕАД (НАР)</w:t>
      </w:r>
      <w:r>
        <w:rPr>
          <w:rStyle w:val="FootnoteReference"/>
          <w:rFonts w:ascii="Times New Roman" w:hAnsi="Times New Roman"/>
          <w:sz w:val="26"/>
          <w:szCs w:val="26"/>
        </w:rPr>
        <w:footnoteReference w:id="5"/>
      </w:r>
      <w:r>
        <w:rPr>
          <w:rFonts w:ascii="Times New Roman" w:hAnsi="Times New Roman"/>
          <w:sz w:val="26"/>
          <w:szCs w:val="26"/>
        </w:rPr>
        <w:t>, „Герини-Прес“ АД, „Телеграф“ ЕООД, „Стандарт Нюз“ АД; „Класа България“ ЕАД; „Кроз“ АД; „Торнадо Медиа“ ЕООД; „АКС Трейдинг“ ООД, „Медика Прес</w:t>
      </w:r>
      <w:r>
        <w:rPr>
          <w:rFonts w:ascii="Times New Roman" w:hAnsi="Times New Roman"/>
          <w:sz w:val="26"/>
          <w:szCs w:val="26"/>
        </w:rPr>
        <w:t>“ ЕООД), а някои са изтъкнали аргументите, че не съхраняват изисканата информация за целия анализиран период и/или водят своята отчетност по начин, който не позволява да се извлече справка по поискания от КЗК формат/начин („Банкер“ ООД; „Оларт“ ЕООД, „Сена</w:t>
      </w:r>
      <w:r>
        <w:rPr>
          <w:rFonts w:ascii="Times New Roman" w:hAnsi="Times New Roman"/>
          <w:sz w:val="26"/>
          <w:szCs w:val="26"/>
        </w:rPr>
        <w:t xml:space="preserve">тор“ ООД, „Прес“ ЕООД и „Прес- 2000“ ЕООД).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Въз основа на получените отговори се установи, че за анализирания период никой от анкетираните участници в сектора (издатели; разпространители на едро/дребно) не разполага с информация и данни за общия обем на н</w:t>
      </w:r>
      <w:r>
        <w:rPr>
          <w:rFonts w:ascii="Times New Roman" w:hAnsi="Times New Roman"/>
          <w:sz w:val="26"/>
          <w:szCs w:val="26"/>
        </w:rPr>
        <w:t>ито един от вертикално свързаните пазари (в количествено и/или стойностно изражение), не са правили собствени проучвания, нито пък са възлагали на независими институции да изготвят такива. С Решение от 2001 г. на СГС е учредено Сдружение „Одит бюро по тира</w:t>
      </w:r>
      <w:r>
        <w:rPr>
          <w:rFonts w:ascii="Times New Roman" w:hAnsi="Times New Roman"/>
          <w:sz w:val="26"/>
          <w:szCs w:val="26"/>
        </w:rPr>
        <w:t>жите България“, което в периода на извършване на секторния анализ на практика не функционира. Поради непредоставянето на данни  от една от големите печатници в София (ИПК Родина), КЗК не би могла да  направи  дори и приблизителна оценка за обема на пазара,</w:t>
      </w:r>
      <w:r>
        <w:rPr>
          <w:rFonts w:ascii="Times New Roman" w:hAnsi="Times New Roman"/>
          <w:sz w:val="26"/>
          <w:szCs w:val="26"/>
        </w:rPr>
        <w:t xml:space="preserve"> на база отпечатан тираж. Поради това единственият източник на информация за общия обем на пазара (отпечатан тираж, брой заглавия, периодика и др.), който използва Комисията в своя анализ, е НСИ.</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Като цяло непълната информация, получена от по-голямата част</w:t>
      </w:r>
      <w:r>
        <w:rPr>
          <w:rFonts w:ascii="Times New Roman" w:hAnsi="Times New Roman"/>
          <w:sz w:val="26"/>
          <w:szCs w:val="26"/>
        </w:rPr>
        <w:t xml:space="preserve"> от анкетираните участници, както и липсата на други надеждни и достоверни източници, затрудниха работата на Комисията по изготвянето на секторния анализ.</w:t>
      </w:r>
    </w:p>
    <w:p w:rsidR="00000000" w:rsidRDefault="003E498D">
      <w:pPr>
        <w:ind w:firstLine="708"/>
        <w:contextualSpacing/>
        <w:jc w:val="both"/>
        <w:rPr>
          <w:rFonts w:ascii="Times New Roman" w:hAnsi="Times New Roman"/>
          <w:sz w:val="26"/>
          <w:szCs w:val="26"/>
        </w:rPr>
      </w:pPr>
    </w:p>
    <w:p w:rsidR="00000000" w:rsidRDefault="003E498D">
      <w:pPr>
        <w:contextualSpacing/>
        <w:rPr>
          <w:rFonts w:ascii="Times New Roman" w:hAnsi="Times New Roman"/>
          <w:b/>
          <w:sz w:val="26"/>
          <w:szCs w:val="26"/>
        </w:rPr>
      </w:pPr>
      <w:r>
        <w:rPr>
          <w:rFonts w:ascii="Times New Roman" w:hAnsi="Times New Roman"/>
          <w:b/>
          <w:sz w:val="26"/>
          <w:szCs w:val="26"/>
        </w:rPr>
        <w:t xml:space="preserve">ІІ. Общ преглед и характеристика на анализирания сектор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За анализирания тригодишен период, Комисия</w:t>
      </w:r>
      <w:r>
        <w:rPr>
          <w:rFonts w:ascii="Times New Roman" w:hAnsi="Times New Roman"/>
          <w:sz w:val="26"/>
          <w:szCs w:val="26"/>
        </w:rPr>
        <w:t>та съпостави официално публикуваните данни от Националния статистически институт</w:t>
      </w:r>
      <w:r>
        <w:rPr>
          <w:rStyle w:val="FootnoteReference"/>
          <w:rFonts w:ascii="Times New Roman" w:hAnsi="Times New Roman"/>
          <w:sz w:val="26"/>
          <w:szCs w:val="26"/>
        </w:rPr>
        <w:footnoteReference w:id="6"/>
      </w:r>
      <w:r>
        <w:rPr>
          <w:rFonts w:ascii="Times New Roman" w:hAnsi="Times New Roman"/>
          <w:sz w:val="26"/>
          <w:szCs w:val="26"/>
        </w:rPr>
        <w:t xml:space="preserve"> (НСИ) с цел да установи развитието на сектора издаване на печатни издания (вестници и </w:t>
      </w:r>
      <w:r>
        <w:rPr>
          <w:rFonts w:ascii="Times New Roman" w:hAnsi="Times New Roman"/>
          <w:sz w:val="26"/>
          <w:szCs w:val="26"/>
        </w:rPr>
        <w:lastRenderedPageBreak/>
        <w:t>списания), което определя и дейността по разпространението им. В хода на проучването, се</w:t>
      </w:r>
      <w:r>
        <w:rPr>
          <w:rFonts w:ascii="Times New Roman" w:hAnsi="Times New Roman"/>
          <w:sz w:val="26"/>
          <w:szCs w:val="26"/>
        </w:rPr>
        <w:t xml:space="preserve"> разгледаха няколко критерии за оценка на неговото състояние, а именно разнообразие от заглавия, отпечатан тираж, периодичност и тематика. Допълнително, КЗК анализира динамиката при националните ежедневни и седмични издания в контекста на променливата икон</w:t>
      </w:r>
      <w:r>
        <w:rPr>
          <w:rFonts w:ascii="Times New Roman" w:hAnsi="Times New Roman"/>
          <w:sz w:val="26"/>
          <w:szCs w:val="26"/>
        </w:rPr>
        <w:t>омическа обстановка (БВП) за последните шест години (2006 г. -2011 г.).</w:t>
      </w:r>
    </w:p>
    <w:p w:rsidR="00000000" w:rsidRDefault="003E498D">
      <w:pPr>
        <w:ind w:firstLine="708"/>
        <w:contextualSpacing/>
        <w:jc w:val="both"/>
        <w:rPr>
          <w:rFonts w:ascii="Times New Roman" w:hAnsi="Times New Roman"/>
          <w:b/>
          <w:bCs/>
          <w:sz w:val="26"/>
          <w:szCs w:val="26"/>
        </w:rPr>
      </w:pPr>
      <w:r>
        <w:rPr>
          <w:rFonts w:ascii="Times New Roman" w:hAnsi="Times New Roman"/>
          <w:sz w:val="26"/>
          <w:szCs w:val="26"/>
        </w:rPr>
        <w:t>Печатните издания в страната се характеризират с относително разнообразие от заглавия, с различна тематика, периодичност и тираж, които следва да бъдат анализирани индивидуално с оглед</w:t>
      </w:r>
      <w:r>
        <w:rPr>
          <w:rFonts w:ascii="Times New Roman" w:hAnsi="Times New Roman"/>
          <w:sz w:val="26"/>
          <w:szCs w:val="26"/>
        </w:rPr>
        <w:t xml:space="preserve"> основните им характеристики и евентуална взаимозаменяемост (изследвана подробно в </w:t>
      </w:r>
      <w:r>
        <w:rPr>
          <w:rFonts w:ascii="Times New Roman" w:hAnsi="Times New Roman"/>
          <w:b/>
          <w:bCs/>
          <w:sz w:val="26"/>
          <w:szCs w:val="26"/>
        </w:rPr>
        <w:t>раздел ІІІ от секторния анализ). С цел извършването на общ преглед на сектора, Комисията разгледа посочените по-долу данни като основни показатели, на базата на които да нап</w:t>
      </w:r>
      <w:r>
        <w:rPr>
          <w:rFonts w:ascii="Times New Roman" w:hAnsi="Times New Roman"/>
          <w:b/>
          <w:bCs/>
          <w:sz w:val="26"/>
          <w:szCs w:val="26"/>
        </w:rPr>
        <w:t>рави своите изводи за неговото развитие през анализирания период от време.</w:t>
      </w:r>
    </w:p>
    <w:p w:rsidR="00000000" w:rsidRDefault="003E498D">
      <w:pPr>
        <w:ind w:firstLine="708"/>
        <w:contextualSpacing/>
        <w:jc w:val="both"/>
        <w:rPr>
          <w:rFonts w:ascii="Times New Roman" w:hAnsi="Times New Roman"/>
          <w:b/>
          <w:bCs/>
          <w:sz w:val="26"/>
          <w:szCs w:val="26"/>
        </w:rPr>
      </w:pPr>
      <w:r>
        <w:rPr>
          <w:rFonts w:ascii="Times New Roman" w:hAnsi="Times New Roman"/>
          <w:sz w:val="26"/>
          <w:szCs w:val="26"/>
        </w:rPr>
        <w:t>Таблица № 1 проследява промяната на общия брой заглавия, годишни тиражи и брой вестници на лице от населението.</w:t>
      </w:r>
    </w:p>
    <w:tbl>
      <w:tblPr>
        <w:tblW w:w="0" w:type="auto"/>
        <w:tblLayout w:type="fixed"/>
        <w:tblLook w:val="0000" w:firstRow="0" w:lastRow="0" w:firstColumn="0" w:lastColumn="0" w:noHBand="0" w:noVBand="0"/>
      </w:tblPr>
      <w:tblGrid>
        <w:gridCol w:w="9288"/>
      </w:tblGrid>
      <w:tr w:rsidR="00000000">
        <w:trPr>
          <w:trHeight w:val="1797"/>
        </w:trPr>
        <w:tc>
          <w:tcPr>
            <w:tcW w:w="9288" w:type="dxa"/>
          </w:tcPr>
          <w:p w:rsidR="00000000" w:rsidRDefault="003E498D">
            <w:pPr>
              <w:contextualSpacing/>
              <w:jc w:val="right"/>
              <w:rPr>
                <w:rFonts w:ascii="Times New Roman" w:hAnsi="Times New Roman"/>
                <w:sz w:val="26"/>
                <w:szCs w:val="26"/>
              </w:rPr>
            </w:pPr>
            <w:r>
              <w:rPr>
                <w:rFonts w:ascii="Times New Roman" w:hAnsi="Times New Roman"/>
                <w:sz w:val="26"/>
                <w:szCs w:val="26"/>
              </w:rPr>
              <w:t>Таблица № 1</w:t>
            </w:r>
          </w:p>
          <w:p w:rsidR="00000000" w:rsidRDefault="003E498D">
            <w:pPr>
              <w:contextualSpacing/>
              <w:jc w:val="center"/>
              <w:rPr>
                <w:rFonts w:ascii="Times New Roman" w:hAnsi="Times New Roman"/>
                <w:i/>
                <w:sz w:val="26"/>
                <w:szCs w:val="26"/>
              </w:rPr>
            </w:pPr>
            <w:r>
              <w:rPr>
                <w:rFonts w:ascii="Times New Roman" w:hAnsi="Times New Roman"/>
                <w:i/>
                <w:sz w:val="26"/>
                <w:szCs w:val="26"/>
              </w:rPr>
              <w:object w:dxaOrig="7659" w:dyaOrig="18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9.25pt;height:78pt;mso-wrap-style:square;mso-position-horizontal-relative:page;mso-position-vertical-relative:page" o:ole="">
                  <v:imagedata r:id="rId8" o:title=""/>
                </v:shape>
                <o:OLEObject Type="Embed" ProgID="PBrush" ShapeID="_x0000_i1025" DrawAspect="Content" ObjectID="_1448021962" r:id="rId9"/>
              </w:object>
            </w:r>
          </w:p>
        </w:tc>
      </w:tr>
    </w:tbl>
    <w:p w:rsidR="00000000" w:rsidRDefault="003E498D">
      <w:pPr>
        <w:ind w:firstLine="708"/>
        <w:contextualSpacing/>
        <w:jc w:val="both"/>
        <w:rPr>
          <w:rFonts w:ascii="Times New Roman" w:hAnsi="Times New Roman"/>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Данните показват съществен спад в бр</w:t>
      </w:r>
      <w:r>
        <w:rPr>
          <w:rFonts w:ascii="Times New Roman" w:hAnsi="Times New Roman"/>
          <w:sz w:val="26"/>
          <w:szCs w:val="26"/>
        </w:rPr>
        <w:t>оя на заглавията през 2010г., с приблизително 17.7%, спрямо този през 2009 г., а последващият ръст от 2.8% през 2011г. не е в състояние да го компенсира. Тиражът и броят вестници на лице от населението отчитат също лек спад през 2010 г., последван от почти</w:t>
      </w:r>
      <w:r>
        <w:rPr>
          <w:rFonts w:ascii="Times New Roman" w:hAnsi="Times New Roman"/>
          <w:sz w:val="26"/>
          <w:szCs w:val="26"/>
        </w:rPr>
        <w:t xml:space="preserve"> тройно увеличаване през 2011г., спрямо предходната година. Излизането на приблизително 67 продукта (брой заглавия 2009 г.-2011г.) от пазара би следвало да има негативен ефект върху тиражната стойност, която обаче за 2011г. е приблизително с 18 000 хил. бр</w:t>
      </w:r>
      <w:r>
        <w:rPr>
          <w:rFonts w:ascii="Times New Roman" w:hAnsi="Times New Roman"/>
          <w:sz w:val="26"/>
          <w:szCs w:val="26"/>
        </w:rPr>
        <w:t>оя повече, отколкото през 2009г.По отношение на периодиката на вестниците, Комисията разгледа три основни групи: ежедневници, седмични издания и издания с по-рядка периодика по категории заглавия и годишен тираж.</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Таблица № 2 обобщава данните от НСИ (илюстр</w:t>
      </w:r>
      <w:r>
        <w:rPr>
          <w:rFonts w:ascii="Times New Roman" w:hAnsi="Times New Roman"/>
          <w:sz w:val="26"/>
          <w:szCs w:val="26"/>
        </w:rPr>
        <w:t>ирани и графично) в първата категория, където по абсолютна (бр.) и относителна стойност (%) ежедневниците се оказват най-стабилният сегмент. Техният спад (-10.4%) е почти наполовина по-малък от този при седмичните издания и изданията с по-рядка периодика з</w:t>
      </w:r>
      <w:r>
        <w:rPr>
          <w:rFonts w:ascii="Times New Roman" w:hAnsi="Times New Roman"/>
          <w:sz w:val="26"/>
          <w:szCs w:val="26"/>
        </w:rPr>
        <w:t>а  2010г. (-19.1% и -18.8%) спрямо 2009 г., а последващата им корекция от 3.3% е по-малка от тази на седмичните издания (6.1%), но по-голяма от изданията с по-рядка периодика (-0.7%). Като цяло трите групи запазват относителните си дялове в общия обем загл</w:t>
      </w:r>
      <w:r>
        <w:rPr>
          <w:rFonts w:ascii="Times New Roman" w:hAnsi="Times New Roman"/>
          <w:sz w:val="26"/>
          <w:szCs w:val="26"/>
        </w:rPr>
        <w:t xml:space="preserve">авия, като ежедневниците отбелязват леко покачване от 15%-17% за сметка на изданията с по-рядка периодика.       </w:t>
      </w:r>
    </w:p>
    <w:tbl>
      <w:tblPr>
        <w:tblW w:w="0" w:type="auto"/>
        <w:tblLayout w:type="fixed"/>
        <w:tblLook w:val="0000" w:firstRow="0" w:lastRow="0" w:firstColumn="0" w:lastColumn="0" w:noHBand="0" w:noVBand="0"/>
      </w:tblPr>
      <w:tblGrid>
        <w:gridCol w:w="9288"/>
      </w:tblGrid>
      <w:tr w:rsidR="00000000">
        <w:trPr>
          <w:trHeight w:val="1797"/>
        </w:trPr>
        <w:tc>
          <w:tcPr>
            <w:tcW w:w="9288" w:type="dxa"/>
          </w:tcPr>
          <w:p w:rsidR="00000000" w:rsidRDefault="003E498D">
            <w:pPr>
              <w:contextualSpacing/>
              <w:jc w:val="right"/>
              <w:rPr>
                <w:rFonts w:ascii="Times New Roman" w:hAnsi="Times New Roman"/>
                <w:sz w:val="26"/>
                <w:szCs w:val="26"/>
              </w:rPr>
            </w:pPr>
            <w:r>
              <w:rPr>
                <w:rFonts w:ascii="Times New Roman" w:hAnsi="Times New Roman"/>
                <w:sz w:val="26"/>
                <w:szCs w:val="26"/>
              </w:rPr>
              <w:lastRenderedPageBreak/>
              <w:t>Таблица № 2</w:t>
            </w:r>
          </w:p>
          <w:p w:rsidR="00000000" w:rsidRDefault="003E498D">
            <w:pPr>
              <w:contextualSpacing/>
              <w:jc w:val="center"/>
              <w:rPr>
                <w:rFonts w:ascii="Times New Roman" w:hAnsi="Times New Roman"/>
                <w:i/>
                <w:sz w:val="26"/>
                <w:szCs w:val="26"/>
              </w:rPr>
            </w:pPr>
            <w:r>
              <w:rPr>
                <w:rFonts w:ascii="Times New Roman" w:hAnsi="Times New Roman"/>
                <w:i/>
                <w:sz w:val="26"/>
                <w:szCs w:val="26"/>
              </w:rPr>
              <w:object w:dxaOrig="11468" w:dyaOrig="2236">
                <v:shape id="_x0000_i1026" type="#_x0000_t75" style="width:453pt;height:88.5pt;mso-wrap-style:square;mso-position-horizontal-relative:page;mso-position-vertical-relative:page" o:ole="">
                  <v:imagedata r:id="rId10" o:title=""/>
                </v:shape>
                <o:OLEObject Type="Embed" ProgID="PBrush" ShapeID="_x0000_i1026" DrawAspect="Content" ObjectID="_1448021963" r:id="rId11"/>
              </w:object>
            </w:r>
          </w:p>
        </w:tc>
      </w:tr>
    </w:tbl>
    <w:p w:rsidR="00000000" w:rsidRDefault="003E498D">
      <w:pPr>
        <w:contextualSpacing/>
        <w:jc w:val="both"/>
        <w:rPr>
          <w:rFonts w:ascii="Times New Roman" w:hAnsi="Times New Roman"/>
          <w:sz w:val="26"/>
          <w:szCs w:val="26"/>
          <w:lang w:val="en-US"/>
        </w:rPr>
      </w:pPr>
      <w:r>
        <w:rPr>
          <w:rFonts w:ascii="Times New Roman" w:hAnsi="Times New Roman"/>
          <w:sz w:val="26"/>
          <w:szCs w:val="26"/>
          <w:lang w:val="en-US"/>
        </w:rPr>
        <w:tab/>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В анализа на данните за промените на база годишни тиражи, илюстрирани и графично в Таблица №3, Комисията отч</w:t>
      </w:r>
      <w:r>
        <w:rPr>
          <w:rFonts w:ascii="Times New Roman" w:hAnsi="Times New Roman"/>
          <w:sz w:val="26"/>
          <w:szCs w:val="26"/>
        </w:rPr>
        <w:t>ита липса на синхронизирана тенденция при трите групи издания. Ако през 2010г. годишният тираж на ежедневниците и изданията с по-рядка периодика е намалял съответно с 8.8% и 4.5%, то този на седмичниците се е увеличил с 3.3%. През 2011г. се констатира пром</w:t>
      </w:r>
      <w:r>
        <w:rPr>
          <w:rFonts w:ascii="Times New Roman" w:hAnsi="Times New Roman"/>
          <w:sz w:val="26"/>
          <w:szCs w:val="26"/>
        </w:rPr>
        <w:t>яна в обратна посока, ежедневниците рязко увеличават тиража си с приблизително 24.1%, докато този на седмичниците пада с 9.2%. Изданията с по-рядка периодика не успяват да компенсират загубата от 2010г. и през 2011г. продължават да намаляват тиража си. Кат</w:t>
      </w:r>
      <w:r>
        <w:rPr>
          <w:rFonts w:ascii="Times New Roman" w:hAnsi="Times New Roman"/>
          <w:sz w:val="26"/>
          <w:szCs w:val="26"/>
        </w:rPr>
        <w:t>о общ обем на годишния тираж, най-голям дял и за трите години се пада на ежедневниците (58% - 55% - 62%), следван от седмичниците (38% - 41% - 34%) и съответно с най-малък дял са изданията с по-рядка периодика (5% - 5% - 4%).</w:t>
      </w:r>
    </w:p>
    <w:tbl>
      <w:tblPr>
        <w:tblW w:w="0" w:type="auto"/>
        <w:tblLayout w:type="fixed"/>
        <w:tblLook w:val="0000" w:firstRow="0" w:lastRow="0" w:firstColumn="0" w:lastColumn="0" w:noHBand="0" w:noVBand="0"/>
      </w:tblPr>
      <w:tblGrid>
        <w:gridCol w:w="9288"/>
      </w:tblGrid>
      <w:tr w:rsidR="00000000">
        <w:trPr>
          <w:trHeight w:val="1878"/>
        </w:trPr>
        <w:tc>
          <w:tcPr>
            <w:tcW w:w="9288" w:type="dxa"/>
          </w:tcPr>
          <w:p w:rsidR="00000000" w:rsidRDefault="003E498D">
            <w:pPr>
              <w:contextualSpacing/>
              <w:jc w:val="right"/>
              <w:rPr>
                <w:rFonts w:ascii="Times New Roman" w:hAnsi="Times New Roman"/>
                <w:sz w:val="26"/>
                <w:szCs w:val="26"/>
              </w:rPr>
            </w:pPr>
            <w:r>
              <w:rPr>
                <w:rFonts w:ascii="Times New Roman" w:hAnsi="Times New Roman"/>
                <w:sz w:val="26"/>
                <w:szCs w:val="26"/>
              </w:rPr>
              <w:t>Таблица № 3</w:t>
            </w:r>
          </w:p>
          <w:p w:rsidR="00000000" w:rsidRDefault="003E498D">
            <w:pPr>
              <w:contextualSpacing/>
              <w:jc w:val="center"/>
              <w:rPr>
                <w:rFonts w:ascii="Times New Roman" w:hAnsi="Times New Roman"/>
                <w:i/>
                <w:sz w:val="26"/>
                <w:szCs w:val="26"/>
                <w:lang w:val="en-US"/>
              </w:rPr>
            </w:pPr>
            <w:r>
              <w:rPr>
                <w:rFonts w:ascii="Times New Roman" w:hAnsi="Times New Roman"/>
                <w:i/>
                <w:sz w:val="26"/>
                <w:szCs w:val="26"/>
              </w:rPr>
              <w:object w:dxaOrig="11335" w:dyaOrig="2222">
                <v:shape id="_x0000_i1027" type="#_x0000_t75" style="width:446.25pt;height:87pt;mso-wrap-style:square;mso-position-horizontal-relative:page;mso-position-vertical-relative:page" o:ole="">
                  <v:imagedata r:id="rId12" o:title=""/>
                </v:shape>
                <o:OLEObject Type="Embed" ProgID="PBrush" ShapeID="_x0000_i1027" DrawAspect="Content" ObjectID="_1448021964" r:id="rId13"/>
              </w:object>
            </w:r>
          </w:p>
        </w:tc>
      </w:tr>
    </w:tbl>
    <w:p w:rsidR="00000000" w:rsidRDefault="003E498D">
      <w:pPr>
        <w:pStyle w:val="Style2"/>
        <w:spacing w:before="0" w:after="0"/>
        <w:ind w:firstLine="708"/>
        <w:contextualSpacing/>
        <w:rPr>
          <w:color w:val="auto"/>
          <w:sz w:val="26"/>
          <w:szCs w:val="26"/>
        </w:rPr>
      </w:pPr>
    </w:p>
    <w:p w:rsidR="00000000" w:rsidRDefault="003E498D">
      <w:pPr>
        <w:pStyle w:val="Style2"/>
        <w:spacing w:before="0" w:after="0"/>
        <w:ind w:firstLine="708"/>
        <w:contextualSpacing/>
        <w:rPr>
          <w:color w:val="auto"/>
          <w:sz w:val="26"/>
          <w:szCs w:val="26"/>
        </w:rPr>
      </w:pPr>
      <w:r>
        <w:rPr>
          <w:color w:val="auto"/>
          <w:sz w:val="26"/>
          <w:szCs w:val="26"/>
        </w:rPr>
        <w:t>КЗК разгледа разпределението на изданията по тематичната им обособеност в категории брой заглавия и годишен тираж, систематизирани в Таблица №4 и Таблица №5. С най-голям брой заглавия се отличават групите „Социални науки“, „Приложни науки. Медицина. Тех</w:t>
      </w:r>
      <w:r>
        <w:rPr>
          <w:color w:val="auto"/>
          <w:sz w:val="26"/>
          <w:szCs w:val="26"/>
        </w:rPr>
        <w:t>нологии“ и Регионалните вестници, които запазват водещите си позиции за целия период от три години и представляват общо над 75% спрямо заглавията на всички вестници. В разбивката на най-разнородната група „Социални науки“ Комисията установи, че от шестте п</w:t>
      </w:r>
      <w:r>
        <w:rPr>
          <w:color w:val="auto"/>
          <w:sz w:val="26"/>
          <w:szCs w:val="26"/>
        </w:rPr>
        <w:t xml:space="preserve">одгрупи (Социология, статистика, демография; Политика, икономически науки, икономика; Право, публична администрация и социални грижи, социално осигуряване, застрахователно дело; Военни науки; Образование, подготовка на учители; Свободно време; Етнография, </w:t>
      </w:r>
      <w:r>
        <w:rPr>
          <w:color w:val="auto"/>
          <w:sz w:val="26"/>
          <w:szCs w:val="26"/>
        </w:rPr>
        <w:t>културна антропология), най-многобройни са изданията, посветени на темите в Политика, икономически науки, икономика, но чийто брой намалява от 52 (2009г.) на 43 (2011г.)</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8"/>
      </w:tblGrid>
      <w:tr w:rsidR="00000000">
        <w:trPr>
          <w:trHeight w:val="1797"/>
        </w:trPr>
        <w:tc>
          <w:tcPr>
            <w:tcW w:w="9288" w:type="dxa"/>
            <w:tcBorders>
              <w:top w:val="nil"/>
              <w:left w:val="nil"/>
              <w:bottom w:val="nil"/>
              <w:right w:val="nil"/>
            </w:tcBorders>
          </w:tcPr>
          <w:p w:rsidR="00000000" w:rsidRDefault="003E498D">
            <w:pPr>
              <w:contextualSpacing/>
              <w:jc w:val="right"/>
              <w:rPr>
                <w:rFonts w:ascii="Times New Roman" w:hAnsi="Times New Roman"/>
                <w:sz w:val="26"/>
                <w:szCs w:val="26"/>
              </w:rPr>
            </w:pPr>
            <w:r>
              <w:rPr>
                <w:rFonts w:ascii="Times New Roman" w:hAnsi="Times New Roman"/>
                <w:i/>
                <w:sz w:val="26"/>
                <w:szCs w:val="26"/>
              </w:rPr>
              <w:lastRenderedPageBreak/>
              <w:t xml:space="preserve">                                                                                 </w:t>
            </w:r>
            <w:r>
              <w:rPr>
                <w:rFonts w:ascii="Times New Roman" w:hAnsi="Times New Roman"/>
                <w:sz w:val="26"/>
                <w:szCs w:val="26"/>
              </w:rPr>
              <w:t>Табли</w:t>
            </w:r>
            <w:r>
              <w:rPr>
                <w:rFonts w:ascii="Times New Roman" w:hAnsi="Times New Roman"/>
                <w:sz w:val="26"/>
                <w:szCs w:val="26"/>
              </w:rPr>
              <w:t>ца № 4</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9267" w:dyaOrig="5400">
                <v:shape id="_x0000_i1028" type="#_x0000_t75" style="width:356.25pt;height:208.5pt;mso-wrap-style:square;mso-position-horizontal-relative:page;mso-position-vertical-relative:page" o:ole="">
                  <v:imagedata r:id="rId14" o:title=""/>
                </v:shape>
                <o:OLEObject Type="Embed" ProgID="PBrush" ShapeID="_x0000_i1028" DrawAspect="Content" ObjectID="_1448021965" r:id="rId15"/>
              </w:object>
            </w:r>
          </w:p>
        </w:tc>
      </w:tr>
    </w:tbl>
    <w:p w:rsidR="00000000" w:rsidRDefault="003E498D">
      <w:pPr>
        <w:pStyle w:val="Style2"/>
        <w:spacing w:before="0" w:after="0"/>
        <w:ind w:firstLine="708"/>
        <w:contextualSpacing/>
        <w:rPr>
          <w:color w:val="auto"/>
          <w:sz w:val="26"/>
          <w:szCs w:val="26"/>
        </w:rPr>
      </w:pPr>
    </w:p>
    <w:p w:rsidR="00000000" w:rsidRDefault="003E498D">
      <w:pPr>
        <w:pStyle w:val="Style2"/>
        <w:spacing w:before="0" w:after="0"/>
        <w:ind w:firstLine="708"/>
        <w:contextualSpacing/>
        <w:rPr>
          <w:color w:val="auto"/>
          <w:sz w:val="26"/>
          <w:szCs w:val="26"/>
          <w:lang w:val="en-US"/>
        </w:rPr>
      </w:pPr>
      <w:r>
        <w:rPr>
          <w:color w:val="auto"/>
          <w:sz w:val="26"/>
          <w:szCs w:val="26"/>
        </w:rPr>
        <w:t>По отношение на анализа на тематиката по тиражи, най-голям дял се пада на вестниците от общ информационен характер, вариращ между 35% - 43%. Другите две групи от таблица №4, Социални науки и Регионални вестници отново присъстват</w:t>
      </w:r>
      <w:r>
        <w:rPr>
          <w:color w:val="auto"/>
          <w:sz w:val="26"/>
          <w:szCs w:val="26"/>
        </w:rPr>
        <w:t>, като втори и трети по-висок тираж, като трите заедно формират приблизително 76% - 77% от целия годишен тираж.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8"/>
      </w:tblGrid>
      <w:tr w:rsidR="00000000">
        <w:trPr>
          <w:trHeight w:val="1797"/>
        </w:trPr>
        <w:tc>
          <w:tcPr>
            <w:tcW w:w="9288" w:type="dxa"/>
            <w:tcBorders>
              <w:top w:val="nil"/>
              <w:left w:val="nil"/>
              <w:bottom w:val="nil"/>
              <w:right w:val="nil"/>
            </w:tcBorders>
          </w:tcPr>
          <w:p w:rsidR="00000000" w:rsidRDefault="003E498D">
            <w:pPr>
              <w:contextualSpacing/>
              <w:jc w:val="right"/>
              <w:rPr>
                <w:rFonts w:ascii="Times New Roman" w:hAnsi="Times New Roman"/>
                <w:sz w:val="26"/>
                <w:szCs w:val="26"/>
              </w:rPr>
            </w:pPr>
            <w:r>
              <w:rPr>
                <w:rFonts w:ascii="Times New Roman" w:hAnsi="Times New Roman"/>
                <w:sz w:val="26"/>
                <w:szCs w:val="26"/>
              </w:rPr>
              <w:t>Таблица № 5</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10545" w:dyaOrig="5438">
                <v:shape id="_x0000_i1029" type="#_x0000_t75" style="width:372pt;height:192pt;mso-wrap-style:square;mso-position-horizontal-relative:page;mso-position-vertical-relative:page" o:ole="">
                  <v:imagedata r:id="rId16" o:title=""/>
                </v:shape>
                <o:OLEObject Type="Embed" ProgID="PBrush" ShapeID="_x0000_i1029" DrawAspect="Content" ObjectID="_1448021966" r:id="rId17"/>
              </w:object>
            </w:r>
          </w:p>
        </w:tc>
      </w:tr>
    </w:tbl>
    <w:p w:rsidR="00000000" w:rsidRDefault="003E498D">
      <w:pPr>
        <w:ind w:firstLine="708"/>
        <w:contextualSpacing/>
        <w:jc w:val="both"/>
        <w:rPr>
          <w:rFonts w:ascii="Times New Roman" w:hAnsi="Times New Roman"/>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Въз основа на наличните статистически данни и в контекста на актуалната икономическа обстановка може да се напр</w:t>
      </w:r>
      <w:r>
        <w:rPr>
          <w:rFonts w:ascii="Times New Roman" w:hAnsi="Times New Roman"/>
          <w:sz w:val="26"/>
          <w:szCs w:val="26"/>
        </w:rPr>
        <w:t>ави изводът, че за периода 2009г.-2011г. секторът на печатните издания (вестници) претърпява сериозни изменения. Ясно изразен е спадът на тиражите и броят на заглавията на ежедневниците през 2010г. за разлика от 2009г. и 2011г. На база на гореизложените да</w:t>
      </w:r>
      <w:r>
        <w:rPr>
          <w:rFonts w:ascii="Times New Roman" w:hAnsi="Times New Roman"/>
          <w:sz w:val="26"/>
          <w:szCs w:val="26"/>
        </w:rPr>
        <w:t xml:space="preserve">нни КЗК установи, че в сектора по издаване на вестници, </w:t>
      </w:r>
      <w:r>
        <w:rPr>
          <w:rFonts w:ascii="Times New Roman" w:hAnsi="Times New Roman"/>
          <w:b/>
          <w:sz w:val="26"/>
          <w:szCs w:val="26"/>
        </w:rPr>
        <w:t>ежедневниците имат най-голям тираж</w:t>
      </w:r>
      <w:r>
        <w:rPr>
          <w:rFonts w:ascii="Times New Roman" w:hAnsi="Times New Roman"/>
          <w:sz w:val="26"/>
          <w:szCs w:val="26"/>
        </w:rPr>
        <w:t xml:space="preserve"> и сравнително стабилен брой заглавия. Съотносими показатели спрямо брой заглавия и стабилност на годишния тираж демонстрира групата „Вестници от общ информационен ха</w:t>
      </w:r>
      <w:r>
        <w:rPr>
          <w:rFonts w:ascii="Times New Roman" w:hAnsi="Times New Roman"/>
          <w:sz w:val="26"/>
          <w:szCs w:val="26"/>
        </w:rPr>
        <w:t xml:space="preserve">рактер“, която макар </w:t>
      </w:r>
      <w:r>
        <w:rPr>
          <w:rFonts w:ascii="Times New Roman" w:hAnsi="Times New Roman"/>
          <w:sz w:val="26"/>
          <w:szCs w:val="26"/>
        </w:rPr>
        <w:lastRenderedPageBreak/>
        <w:t>и с неколкократно по-малко разнообразие откъм заглавия в сравнение с „Регионални вестници“ се налага с тиража си като най-голяма група.</w:t>
      </w:r>
    </w:p>
    <w:p w:rsidR="00000000" w:rsidRDefault="003E498D">
      <w:pPr>
        <w:ind w:firstLine="708"/>
        <w:contextualSpacing/>
        <w:jc w:val="both"/>
        <w:rPr>
          <w:rFonts w:ascii="Times New Roman" w:hAnsi="Times New Roman"/>
          <w:sz w:val="26"/>
          <w:szCs w:val="26"/>
          <w:lang w:val="en-US"/>
        </w:rPr>
      </w:pPr>
      <w:r>
        <w:rPr>
          <w:rFonts w:ascii="Times New Roman" w:hAnsi="Times New Roman"/>
          <w:sz w:val="26"/>
          <w:szCs w:val="26"/>
        </w:rPr>
        <w:t>В хода на анализа, Комисията разгледа и друг основен продукт в сектора – списанията. По своето тема</w:t>
      </w:r>
      <w:r>
        <w:rPr>
          <w:rFonts w:ascii="Times New Roman" w:hAnsi="Times New Roman"/>
          <w:sz w:val="26"/>
          <w:szCs w:val="26"/>
        </w:rPr>
        <w:t xml:space="preserve">тично разнообразие, списанията предлагат по-богат избор откъм заглавия, отколкото вестниците. Най-многобройните групи от издания са със следните теми: „Обществено-политическа. Култура“; „Здравеопазване и медицина“; и „Техника. Промишленост. Транспорт“. От </w:t>
      </w:r>
      <w:r>
        <w:rPr>
          <w:rFonts w:ascii="Times New Roman" w:hAnsi="Times New Roman"/>
          <w:sz w:val="26"/>
          <w:szCs w:val="26"/>
        </w:rPr>
        <w:t>трите групи, единствено „Здравеопазване и медицина“ успява не само да задържи, но и да увеличи дела си, докато другите две губят сериозна част от заглавията си и дял в общия обем от заглавия.</w:t>
      </w:r>
    </w:p>
    <w:tbl>
      <w:tblPr>
        <w:tblW w:w="0" w:type="auto"/>
        <w:tblLayout w:type="fixed"/>
        <w:tblLook w:val="0000" w:firstRow="0" w:lastRow="0" w:firstColumn="0" w:lastColumn="0" w:noHBand="0" w:noVBand="0"/>
      </w:tblPr>
      <w:tblGrid>
        <w:gridCol w:w="9212"/>
      </w:tblGrid>
      <w:tr w:rsidR="00000000">
        <w:tc>
          <w:tcPr>
            <w:tcW w:w="9212" w:type="dxa"/>
          </w:tcPr>
          <w:p w:rsidR="00000000" w:rsidRDefault="003E498D">
            <w:pPr>
              <w:contextualSpacing/>
              <w:jc w:val="right"/>
              <w:rPr>
                <w:rFonts w:ascii="Times New Roman" w:hAnsi="Times New Roman"/>
                <w:sz w:val="26"/>
                <w:szCs w:val="26"/>
              </w:rPr>
            </w:pPr>
            <w:r>
              <w:rPr>
                <w:rFonts w:ascii="Times New Roman" w:hAnsi="Times New Roman"/>
                <w:sz w:val="26"/>
                <w:szCs w:val="26"/>
              </w:rPr>
              <w:t>Таблица № 6</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9269" w:dyaOrig="6310">
                <v:shape id="_x0000_i1030" type="#_x0000_t75" style="width:293.25pt;height:199.5pt;mso-wrap-style:square;mso-position-horizontal-relative:page;mso-position-vertical-relative:page" o:ole="">
                  <v:imagedata r:id="rId18" o:title=""/>
                </v:shape>
                <o:OLEObject Type="Embed" ProgID="PBrush" ShapeID="_x0000_i1030" DrawAspect="Content" ObjectID="_1448021967" r:id="rId19"/>
              </w:object>
            </w:r>
          </w:p>
        </w:tc>
      </w:tr>
    </w:tbl>
    <w:p w:rsidR="00000000" w:rsidRDefault="003E498D">
      <w:pPr>
        <w:contextualSpacing/>
        <w:jc w:val="both"/>
        <w:rPr>
          <w:rFonts w:ascii="Times New Roman" w:hAnsi="Times New Roman"/>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Относно динамиката на тиражите </w:t>
      </w:r>
      <w:r>
        <w:rPr>
          <w:rFonts w:ascii="Times New Roman" w:hAnsi="Times New Roman"/>
          <w:sz w:val="26"/>
          <w:szCs w:val="26"/>
        </w:rPr>
        <w:t xml:space="preserve">на списания, се отчитат две групи с постоянно стабилно присъствие, а именно „Обществено-политическата“ (41%-46% - 41%) и „Комунално дело. Обществено хранене“ (9% - 12% - 13%).  </w:t>
      </w:r>
    </w:p>
    <w:tbl>
      <w:tblPr>
        <w:tblW w:w="0" w:type="auto"/>
        <w:tblLayout w:type="fixed"/>
        <w:tblLook w:val="0000" w:firstRow="0" w:lastRow="0" w:firstColumn="0" w:lastColumn="0" w:noHBand="0" w:noVBand="0"/>
      </w:tblPr>
      <w:tblGrid>
        <w:gridCol w:w="9288"/>
      </w:tblGrid>
      <w:tr w:rsidR="00000000">
        <w:trPr>
          <w:trHeight w:val="1797"/>
        </w:trPr>
        <w:tc>
          <w:tcPr>
            <w:tcW w:w="9288" w:type="dxa"/>
          </w:tcPr>
          <w:p w:rsidR="00000000" w:rsidRDefault="003E498D">
            <w:pPr>
              <w:contextualSpacing/>
              <w:jc w:val="right"/>
              <w:rPr>
                <w:rFonts w:ascii="Times New Roman" w:hAnsi="Times New Roman"/>
                <w:sz w:val="26"/>
                <w:szCs w:val="26"/>
              </w:rPr>
            </w:pPr>
            <w:r>
              <w:rPr>
                <w:rFonts w:ascii="Times New Roman" w:hAnsi="Times New Roman"/>
                <w:sz w:val="26"/>
                <w:szCs w:val="26"/>
              </w:rPr>
              <w:t>Таблица № 7</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10575" w:dyaOrig="6414">
                <v:shape id="_x0000_i1031" type="#_x0000_t75" style="width:390pt;height:237pt;mso-wrap-style:square;mso-position-horizontal-relative:page;mso-position-vertical-relative:page" o:ole="">
                  <v:imagedata r:id="rId20" o:title=""/>
                </v:shape>
                <o:OLEObject Type="Embed" ProgID="PBrush" ShapeID="_x0000_i1031" DrawAspect="Content" ObjectID="_1448021968" r:id="rId21"/>
              </w:object>
            </w:r>
          </w:p>
        </w:tc>
      </w:tr>
    </w:tbl>
    <w:p w:rsidR="00000000" w:rsidRDefault="003E498D">
      <w:pPr>
        <w:ind w:firstLine="708"/>
        <w:contextualSpacing/>
        <w:jc w:val="both"/>
        <w:rPr>
          <w:rFonts w:ascii="Times New Roman" w:hAnsi="Times New Roman"/>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lastRenderedPageBreak/>
        <w:t xml:space="preserve">За периода списанията отчитат последователно </w:t>
      </w:r>
      <w:r>
        <w:rPr>
          <w:rFonts w:ascii="Times New Roman" w:hAnsi="Times New Roman"/>
          <w:sz w:val="26"/>
          <w:szCs w:val="26"/>
        </w:rPr>
        <w:t>намаляване на заглавията, докато при вестниците се наблюдава спад в техния брой през 2010 г., спрямо 2009 г. и увеличаване през 2011 г., което остава значително под нивото от 2009 г. Що се отнася до тиражите, тенденциите при списанията и вестниците се разл</w:t>
      </w:r>
      <w:r>
        <w:rPr>
          <w:rFonts w:ascii="Times New Roman" w:hAnsi="Times New Roman"/>
          <w:sz w:val="26"/>
          <w:szCs w:val="26"/>
        </w:rPr>
        <w:t>ичават, като първите регистрират скок през 2010г. и незначителен спад през 2011г., а при вторите намаление и последващо увеличаване.</w:t>
      </w:r>
    </w:p>
    <w:tbl>
      <w:tblPr>
        <w:tblW w:w="0" w:type="auto"/>
        <w:tblLayout w:type="fixed"/>
        <w:tblLook w:val="0000" w:firstRow="0" w:lastRow="0" w:firstColumn="0" w:lastColumn="0" w:noHBand="0" w:noVBand="0"/>
      </w:tblPr>
      <w:tblGrid>
        <w:gridCol w:w="9288"/>
      </w:tblGrid>
      <w:tr w:rsidR="00000000">
        <w:trPr>
          <w:trHeight w:val="1415"/>
        </w:trPr>
        <w:tc>
          <w:tcPr>
            <w:tcW w:w="9288" w:type="dxa"/>
          </w:tcPr>
          <w:p w:rsidR="00000000" w:rsidRDefault="003E498D">
            <w:pPr>
              <w:contextualSpacing/>
              <w:jc w:val="right"/>
              <w:rPr>
                <w:rFonts w:ascii="Times New Roman" w:hAnsi="Times New Roman"/>
                <w:sz w:val="26"/>
                <w:szCs w:val="26"/>
              </w:rPr>
            </w:pPr>
            <w:r>
              <w:rPr>
                <w:rFonts w:ascii="Times New Roman" w:hAnsi="Times New Roman"/>
                <w:sz w:val="26"/>
                <w:szCs w:val="26"/>
              </w:rPr>
              <w:t>Таблица № 8</w:t>
            </w:r>
          </w:p>
          <w:p w:rsidR="00000000" w:rsidRDefault="003E498D">
            <w:pPr>
              <w:contextualSpacing/>
              <w:jc w:val="center"/>
              <w:rPr>
                <w:rFonts w:ascii="Times New Roman" w:hAnsi="Times New Roman"/>
                <w:i/>
                <w:sz w:val="26"/>
                <w:szCs w:val="26"/>
              </w:rPr>
            </w:pPr>
            <w:r>
              <w:rPr>
                <w:rFonts w:ascii="Times New Roman" w:hAnsi="Times New Roman"/>
                <w:sz w:val="26"/>
                <w:szCs w:val="26"/>
              </w:rPr>
              <w:object w:dxaOrig="7972" w:dyaOrig="1185">
                <v:shape id="_x0000_i1032" type="#_x0000_t75" style="width:380.25pt;height:56.25pt;mso-wrap-style:square;mso-position-horizontal-relative:page;mso-position-vertical-relative:page" o:ole="">
                  <v:imagedata r:id="rId22" o:title=""/>
                </v:shape>
                <o:OLEObject Type="Embed" ProgID="PBrush" ShapeID="_x0000_i1032" DrawAspect="Content" ObjectID="_1448021969" r:id="rId23"/>
              </w:object>
            </w:r>
          </w:p>
        </w:tc>
      </w:tr>
    </w:tbl>
    <w:p w:rsidR="00000000" w:rsidRDefault="003E498D">
      <w:pPr>
        <w:ind w:firstLine="708"/>
        <w:contextualSpacing/>
        <w:jc w:val="both"/>
        <w:rPr>
          <w:rFonts w:ascii="Times New Roman" w:hAnsi="Times New Roman"/>
          <w:sz w:val="26"/>
          <w:szCs w:val="26"/>
          <w:lang w:val="en-US"/>
        </w:rPr>
      </w:pP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КЗК разгледа промените в БВП (Графика № 1, 2 и 3) като отражение на икономическата среда, </w:t>
      </w:r>
      <w:r>
        <w:rPr>
          <w:rFonts w:ascii="Times New Roman" w:hAnsi="Times New Roman"/>
          <w:sz w:val="26"/>
          <w:szCs w:val="26"/>
        </w:rPr>
        <w:t>съотнесени към годишните отпечатани тиражи, заглавия и брой вестници на лице от населението за периода 2006-2011г., където базова година за сравнение е 2005г.  Видно от таблиците е относителният синхрон на трите величини: БВП, Годишен тираж, Заглавия до 20</w:t>
      </w:r>
      <w:r>
        <w:rPr>
          <w:rFonts w:ascii="Times New Roman" w:hAnsi="Times New Roman"/>
          <w:sz w:val="26"/>
          <w:szCs w:val="26"/>
        </w:rPr>
        <w:t xml:space="preserve">10г., където на фона на забавения темп на растеж на БВП другите две величини отчитат спад. През 2011г. се наблюдава лека корекция, но най-засегнат е броят на заглавията, който спрямо 2005г. бележи спад от приблизително 13%.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По отношение на брой вестници н</w:t>
      </w:r>
      <w:r>
        <w:rPr>
          <w:rFonts w:ascii="Times New Roman" w:hAnsi="Times New Roman"/>
          <w:sz w:val="26"/>
          <w:szCs w:val="26"/>
        </w:rPr>
        <w:t>а лице от населението през 2009г. и 2010г. се наблюдава относителен спад, който обаче се коригира през 2011г. и е в относителен синхрон с друга величина от подобен мащаб, а именно БВП на лице от населението. С оглед на факта, че последните две категории са</w:t>
      </w:r>
      <w:r>
        <w:rPr>
          <w:rFonts w:ascii="Times New Roman" w:hAnsi="Times New Roman"/>
          <w:sz w:val="26"/>
          <w:szCs w:val="26"/>
        </w:rPr>
        <w:t xml:space="preserve"> функция на  данните от преброяването през 2011г., е необходимо да се отбележи, че съответните промени следва да бъдат интерпретирани в контекста на това събитие (Приложения № 1, 2 А, 2Б).</w:t>
      </w:r>
    </w:p>
    <w:tbl>
      <w:tblPr>
        <w:tblW w:w="0" w:type="auto"/>
        <w:tblLayout w:type="fixed"/>
        <w:tblLook w:val="0000" w:firstRow="0" w:lastRow="0" w:firstColumn="0" w:lastColumn="0" w:noHBand="0" w:noVBand="0"/>
      </w:tblPr>
      <w:tblGrid>
        <w:gridCol w:w="9212"/>
      </w:tblGrid>
      <w:tr w:rsidR="00000000">
        <w:trPr>
          <w:trHeight w:val="1164"/>
        </w:trPr>
        <w:tc>
          <w:tcPr>
            <w:tcW w:w="9212" w:type="dxa"/>
          </w:tcPr>
          <w:p w:rsidR="00000000" w:rsidRDefault="003E498D">
            <w:pPr>
              <w:contextualSpacing/>
              <w:jc w:val="right"/>
              <w:rPr>
                <w:rFonts w:ascii="Times New Roman" w:hAnsi="Times New Roman"/>
                <w:sz w:val="26"/>
                <w:szCs w:val="26"/>
              </w:rPr>
            </w:pPr>
            <w:r>
              <w:rPr>
                <w:rFonts w:ascii="Times New Roman" w:hAnsi="Times New Roman"/>
                <w:sz w:val="26"/>
                <w:szCs w:val="26"/>
              </w:rPr>
              <w:t>Графика № 1</w:t>
            </w:r>
          </w:p>
          <w:p w:rsidR="00000000" w:rsidRDefault="003E498D">
            <w:pPr>
              <w:contextualSpacing/>
              <w:jc w:val="right"/>
              <w:rPr>
                <w:rFonts w:ascii="Times New Roman" w:hAnsi="Times New Roman"/>
                <w:sz w:val="26"/>
                <w:szCs w:val="26"/>
              </w:rPr>
            </w:pPr>
            <w:r>
              <w:rPr>
                <w:rFonts w:ascii="Times New Roman" w:hAnsi="Times New Roman"/>
                <w:sz w:val="26"/>
                <w:szCs w:val="26"/>
              </w:rPr>
              <w:object w:dxaOrig="8910" w:dyaOrig="3273">
                <v:shape id="_x0000_i1033" type="#_x0000_t75" style="width:445.5pt;height:163.5pt;mso-wrap-style:square;mso-position-horizontal-relative:page;mso-position-vertical-relative:page" o:ole="">
                  <v:imagedata r:id="rId24" o:title=""/>
                </v:shape>
                <o:OLEObject Type="Embed" ProgID="PBrush" ShapeID="_x0000_i1033" DrawAspect="Content" ObjectID="_1448021970" r:id="rId25"/>
              </w:object>
            </w:r>
            <w:r>
              <w:rPr>
                <w:rFonts w:ascii="Times New Roman" w:hAnsi="Times New Roman"/>
                <w:i/>
                <w:sz w:val="26"/>
                <w:szCs w:val="26"/>
              </w:rPr>
              <w:t xml:space="preserve">                                     </w:t>
            </w:r>
            <w:r>
              <w:rPr>
                <w:rFonts w:ascii="Times New Roman" w:hAnsi="Times New Roman"/>
                <w:i/>
                <w:sz w:val="26"/>
                <w:szCs w:val="26"/>
              </w:rPr>
              <w:t xml:space="preserve">                                                                                                                                   </w:t>
            </w:r>
            <w:r>
              <w:rPr>
                <w:rFonts w:ascii="Times New Roman" w:hAnsi="Times New Roman"/>
                <w:sz w:val="26"/>
                <w:szCs w:val="26"/>
              </w:rPr>
              <w:t>Графика № 2</w:t>
            </w:r>
          </w:p>
        </w:tc>
      </w:tr>
      <w:tr w:rsidR="00000000">
        <w:trPr>
          <w:trHeight w:val="80"/>
        </w:trPr>
        <w:tc>
          <w:tcPr>
            <w:tcW w:w="9212" w:type="dxa"/>
          </w:tcPr>
          <w:p w:rsidR="00000000" w:rsidRDefault="003E498D">
            <w:pPr>
              <w:contextualSpacing/>
              <w:jc w:val="center"/>
              <w:rPr>
                <w:rFonts w:ascii="Times New Roman" w:hAnsi="Times New Roman"/>
                <w:i/>
                <w:sz w:val="2"/>
                <w:szCs w:val="2"/>
              </w:rPr>
            </w:pPr>
            <w:r>
              <w:rPr>
                <w:rFonts w:ascii="Times New Roman" w:hAnsi="Times New Roman"/>
                <w:sz w:val="26"/>
                <w:szCs w:val="26"/>
              </w:rPr>
              <w:object w:dxaOrig="9215" w:dyaOrig="2716">
                <v:shape id="_x0000_i1034" type="#_x0000_t75" style="width:450.75pt;height:132pt;mso-wrap-style:square;mso-position-horizontal-relative:page;mso-position-vertical-relative:page" o:ole="">
                  <v:imagedata r:id="rId26" o:title=""/>
                </v:shape>
                <o:OLEObject Type="Embed" ProgID="PBrush" ShapeID="_x0000_i1034" DrawAspect="Content" ObjectID="_1448021971" r:id="rId27"/>
              </w:object>
            </w:r>
          </w:p>
        </w:tc>
      </w:tr>
    </w:tbl>
    <w:p w:rsidR="00000000" w:rsidRDefault="003E498D">
      <w:pPr>
        <w:ind w:firstLine="708"/>
        <w:contextualSpacing/>
        <w:jc w:val="both"/>
        <w:rPr>
          <w:rFonts w:ascii="Times New Roman" w:hAnsi="Times New Roman"/>
          <w:sz w:val="26"/>
          <w:szCs w:val="26"/>
          <w:lang w:val="en-US"/>
        </w:rPr>
      </w:pPr>
      <w:r>
        <w:rPr>
          <w:rFonts w:ascii="Times New Roman" w:hAnsi="Times New Roman"/>
          <w:sz w:val="26"/>
          <w:szCs w:val="26"/>
        </w:rPr>
        <w:t xml:space="preserve">Сходни с горните съждения по отношение на категориите БВП, Годишен тираж, Заглавия могат да </w:t>
      </w:r>
      <w:r>
        <w:rPr>
          <w:rFonts w:ascii="Times New Roman" w:hAnsi="Times New Roman"/>
          <w:sz w:val="26"/>
          <w:szCs w:val="26"/>
        </w:rPr>
        <w:t>бъдат направени и за списанията, където обаче спадът на заглавията през 2010г. спрямо 2005г. е приблизително 20% и последвалата промяна през 2011г. е съотносима с тази при вестниците, представени в таблицата по-долу (Приложения № 3 и 2А).</w:t>
      </w:r>
    </w:p>
    <w:tbl>
      <w:tblPr>
        <w:tblW w:w="0" w:type="auto"/>
        <w:tblLayout w:type="fixed"/>
        <w:tblLook w:val="0000" w:firstRow="0" w:lastRow="0" w:firstColumn="0" w:lastColumn="0" w:noHBand="0" w:noVBand="0"/>
      </w:tblPr>
      <w:tblGrid>
        <w:gridCol w:w="9288"/>
      </w:tblGrid>
      <w:tr w:rsidR="00000000">
        <w:trPr>
          <w:trHeight w:val="1797"/>
        </w:trPr>
        <w:tc>
          <w:tcPr>
            <w:tcW w:w="9288" w:type="dxa"/>
          </w:tcPr>
          <w:p w:rsidR="00000000" w:rsidRDefault="003E498D">
            <w:pPr>
              <w:contextualSpacing/>
              <w:jc w:val="right"/>
              <w:rPr>
                <w:rFonts w:ascii="Times New Roman" w:hAnsi="Times New Roman"/>
                <w:sz w:val="26"/>
                <w:szCs w:val="26"/>
              </w:rPr>
            </w:pPr>
            <w:r>
              <w:rPr>
                <w:rFonts w:ascii="Times New Roman" w:hAnsi="Times New Roman"/>
                <w:sz w:val="26"/>
                <w:szCs w:val="26"/>
              </w:rPr>
              <w:t>Графика № 3</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8882" w:dyaOrig="2822">
                <v:shape id="_x0000_i1035" type="#_x0000_t75" style="width:441.75pt;height:141pt;mso-wrap-style:square;mso-position-horizontal-relative:page;mso-position-vertical-relative:page" o:ole="">
                  <v:imagedata r:id="rId28" o:title=""/>
                </v:shape>
                <o:OLEObject Type="Embed" ProgID="PBrush" ShapeID="_x0000_i1035" DrawAspect="Content" ObjectID="_1448021972" r:id="rId29"/>
              </w:object>
            </w:r>
          </w:p>
        </w:tc>
      </w:tr>
    </w:tbl>
    <w:p w:rsidR="00000000" w:rsidRDefault="003E498D">
      <w:pPr>
        <w:ind w:firstLine="708"/>
        <w:contextualSpacing/>
        <w:jc w:val="both"/>
        <w:rPr>
          <w:rFonts w:ascii="Times New Roman" w:hAnsi="Times New Roman"/>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Предвид голямото многообразие от заглавия и тематичност на печатните издания (вестници и списания) в страната, всеки разпространител се стреми да разпространява повече заглавия не само като брой тираж, но и с различна тематика и периодика н</w:t>
      </w:r>
      <w:r>
        <w:rPr>
          <w:rFonts w:ascii="Times New Roman" w:hAnsi="Times New Roman"/>
          <w:sz w:val="26"/>
          <w:szCs w:val="26"/>
        </w:rPr>
        <w:t xml:space="preserve">а издаване.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Настоящият секторен анализ цели да направи по-задълбочено проучване и акцентира върху разпространението на българските национални вестници - ежедневници и седмичници с обществено-информационен характер, които са добре познати и наложили се заг</w:t>
      </w:r>
      <w:r>
        <w:rPr>
          <w:rFonts w:ascii="Times New Roman" w:hAnsi="Times New Roman"/>
          <w:sz w:val="26"/>
          <w:szCs w:val="26"/>
        </w:rPr>
        <w:t>лавия. За особеното място и важност на този вид издания спрямо останалите вестници със специализирано съдържание (спорт, здраве и др.), насочено към конкретна читателска аудитория, свидетелства и техният значителен годишен тираж, който формират, спрямо общ</w:t>
      </w:r>
      <w:r>
        <w:rPr>
          <w:rFonts w:ascii="Times New Roman" w:hAnsi="Times New Roman"/>
          <w:sz w:val="26"/>
          <w:szCs w:val="26"/>
        </w:rPr>
        <w:t>ия тираж.  Разпространението на регионалните вестници също няма да бъде обект на детайлно анализиране, тъй като тези издания съдържат информация основно за събития в конкретен регион на страната и съответно имат ограничен обхват на разпространение. Делът н</w:t>
      </w:r>
      <w:r>
        <w:rPr>
          <w:rFonts w:ascii="Times New Roman" w:hAnsi="Times New Roman"/>
          <w:sz w:val="26"/>
          <w:szCs w:val="26"/>
        </w:rPr>
        <w:t>а регионалните вестници спрямо годишния тираж на всички вестници е 10 % през периода 2009 г.-2011 г. (вж. Таблица № 5). Не на последно място следва да се отчете, че и поводът за иницииране на секторния анализ са постъпилите в КЗК сигнали и съобщения в прес</w:t>
      </w:r>
      <w:r>
        <w:rPr>
          <w:rFonts w:ascii="Times New Roman" w:hAnsi="Times New Roman"/>
          <w:sz w:val="26"/>
          <w:szCs w:val="26"/>
        </w:rPr>
        <w:t>ата за нелоялни търговски практики именно при разпространението на националните ежедневници и седмичници с обществено информационно съдържание.</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lastRenderedPageBreak/>
        <w:t xml:space="preserve">Анализът на разпространението на печатни издания включва и това на българските списания, тъй като икономиите от </w:t>
      </w:r>
      <w:r>
        <w:rPr>
          <w:rFonts w:ascii="Times New Roman" w:hAnsi="Times New Roman"/>
          <w:sz w:val="26"/>
          <w:szCs w:val="26"/>
        </w:rPr>
        <w:t>мащаба стимулират практиката за едновременно разпространение на вестници и списания (чрез общи пунктове за продажба и възможност за координиране на опаковането на списания през деня и на вестници през нощта) и съответно паралелната им дистрибуция на едро в</w:t>
      </w:r>
      <w:r>
        <w:rPr>
          <w:rFonts w:ascii="Times New Roman" w:hAnsi="Times New Roman"/>
          <w:sz w:val="26"/>
          <w:szCs w:val="26"/>
        </w:rPr>
        <w:t xml:space="preserve"> общ пазар. За целта бе изискана подробна информация и документи от  основните издатели на национални ежедневници и седмичници с обществено информационно съдържание, както и от по-големите дистрибутори, разпространяващи ги на други разпространители и/или д</w:t>
      </w:r>
      <w:r>
        <w:rPr>
          <w:rFonts w:ascii="Times New Roman" w:hAnsi="Times New Roman"/>
          <w:sz w:val="26"/>
          <w:szCs w:val="26"/>
        </w:rPr>
        <w:t xml:space="preserve">иректно на търговци на дребно чрез крайни пунктове за продажба (павилиони/маси). </w:t>
      </w:r>
    </w:p>
    <w:p w:rsidR="00000000" w:rsidRDefault="003E498D">
      <w:pPr>
        <w:contextualSpacing/>
        <w:jc w:val="both"/>
        <w:rPr>
          <w:rFonts w:ascii="Times New Roman" w:hAnsi="Times New Roman"/>
          <w:sz w:val="26"/>
          <w:szCs w:val="26"/>
        </w:rPr>
      </w:pPr>
      <w:r>
        <w:rPr>
          <w:rFonts w:ascii="Times New Roman" w:hAnsi="Times New Roman"/>
          <w:b/>
          <w:sz w:val="26"/>
          <w:szCs w:val="26"/>
        </w:rPr>
        <w:t xml:space="preserve">ІІІ. Определяне на съответните пазари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Съгласно §1, т. 15 от ДР на ЗЗК съответният пазар се състои от:</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rPr>
        <w:tab/>
      </w:r>
      <w:r>
        <w:rPr>
          <w:rFonts w:ascii="Times New Roman" w:hAnsi="Times New Roman"/>
          <w:sz w:val="26"/>
          <w:szCs w:val="26"/>
        </w:rPr>
        <w:t xml:space="preserve">продуктов пазар, в който са включени всички стоки или услуги, които </w:t>
      </w:r>
      <w:r>
        <w:rPr>
          <w:rFonts w:ascii="Times New Roman" w:hAnsi="Times New Roman"/>
          <w:sz w:val="26"/>
          <w:szCs w:val="26"/>
        </w:rPr>
        <w:t xml:space="preserve">могат да се приемат от потребителите като взаимозаменяеми по отношение на техните характеристики, предназначение и цени.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2.</w:t>
      </w:r>
      <w:r>
        <w:rPr>
          <w:rFonts w:ascii="Times New Roman" w:hAnsi="Times New Roman"/>
          <w:sz w:val="26"/>
          <w:szCs w:val="26"/>
        </w:rPr>
        <w:tab/>
      </w:r>
      <w:r>
        <w:rPr>
          <w:rFonts w:ascii="Times New Roman" w:hAnsi="Times New Roman"/>
          <w:sz w:val="26"/>
          <w:szCs w:val="26"/>
        </w:rPr>
        <w:t>географски пазар, включващ определена територия, в която се предлагат съответните взаимозаменяеми стоки или услуги и в която конку</w:t>
      </w:r>
      <w:r>
        <w:rPr>
          <w:rFonts w:ascii="Times New Roman" w:hAnsi="Times New Roman"/>
          <w:sz w:val="26"/>
          <w:szCs w:val="26"/>
        </w:rPr>
        <w:t>рентните условия са еднакви и се различават от тези в съседни райони.</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За пълнота на анализа и предвид това, че издаването на печатни издания (вестници и списания) е част от вертикално свързания процес, предхождащ  тяхното разпространение до крайния клиент/</w:t>
      </w:r>
      <w:r>
        <w:rPr>
          <w:rFonts w:ascii="Times New Roman" w:hAnsi="Times New Roman"/>
          <w:sz w:val="26"/>
          <w:szCs w:val="26"/>
        </w:rPr>
        <w:t xml:space="preserve">читател, Комисията ще изследва  наличието или липсата на взаимозаменяемост с други медии, както и между отделните видове печатни издания с оглед тяхната периодика, тематичност и обхват на разпространение. </w:t>
      </w:r>
    </w:p>
    <w:p w:rsidR="00000000" w:rsidRDefault="003E498D">
      <w:pPr>
        <w:pStyle w:val="Heading2"/>
        <w:spacing w:before="0"/>
        <w:contextualSpacing/>
        <w:rPr>
          <w:rFonts w:ascii="Times New Roman" w:hAnsi="Times New Roman"/>
        </w:rPr>
      </w:pPr>
      <w:r>
        <w:rPr>
          <w:rFonts w:ascii="Times New Roman" w:hAnsi="Times New Roman"/>
          <w:color w:val="auto"/>
        </w:rPr>
        <w:t>3.1 Продуктови пазари</w:t>
      </w:r>
    </w:p>
    <w:p w:rsidR="00000000" w:rsidRDefault="003E498D">
      <w:pPr>
        <w:pStyle w:val="Heading3"/>
        <w:contextualSpacing/>
        <w:jc w:val="both"/>
        <w:rPr>
          <w:sz w:val="26"/>
          <w:szCs w:val="26"/>
        </w:rPr>
      </w:pPr>
      <w:r>
        <w:rPr>
          <w:b w:val="0"/>
          <w:sz w:val="26"/>
          <w:szCs w:val="26"/>
        </w:rPr>
        <w:t>Взаимозаменяемост между печа</w:t>
      </w:r>
      <w:r>
        <w:rPr>
          <w:b w:val="0"/>
          <w:sz w:val="26"/>
          <w:szCs w:val="26"/>
        </w:rPr>
        <w:t>тните издания (по-конкретно националните вестници) с други медии (радио и  телевизия</w:t>
      </w:r>
      <w:r>
        <w:rPr>
          <w:sz w:val="26"/>
          <w:szCs w:val="26"/>
        </w:rPr>
        <w:t>)</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По принцип телевизионните и радио - станции отразяват накратко основните събития от деня, за разлика от вестниците, които предоставят много по-широк спектър от новини, пр</w:t>
      </w:r>
      <w:r>
        <w:rPr>
          <w:rFonts w:ascii="Times New Roman" w:hAnsi="Times New Roman"/>
          <w:sz w:val="26"/>
          <w:szCs w:val="26"/>
        </w:rPr>
        <w:t>едставени детайлно и в дълбочина.  Независимо от оформилата се тенденция на спад в търсенето на печатни издания телевизионните и радио новини биха могли да се приемат като допълващи, но не и като взаимозаменяеми с вестниците по отношение на по-голямата час</w:t>
      </w:r>
      <w:r>
        <w:rPr>
          <w:rFonts w:ascii="Times New Roman" w:hAnsi="Times New Roman"/>
          <w:sz w:val="26"/>
          <w:szCs w:val="26"/>
        </w:rPr>
        <w:t xml:space="preserve">т от потребителите.  </w:t>
      </w:r>
    </w:p>
    <w:p w:rsidR="00000000" w:rsidRDefault="003E498D">
      <w:pPr>
        <w:ind w:firstLine="708"/>
        <w:contextualSpacing/>
        <w:jc w:val="both"/>
        <w:rPr>
          <w:rFonts w:ascii="Times New Roman" w:hAnsi="Times New Roman"/>
          <w:sz w:val="26"/>
          <w:szCs w:val="26"/>
        </w:rPr>
      </w:pPr>
    </w:p>
    <w:p w:rsidR="00000000" w:rsidRDefault="003E498D">
      <w:pPr>
        <w:pStyle w:val="Heading3"/>
        <w:contextualSpacing/>
        <w:rPr>
          <w:sz w:val="26"/>
          <w:szCs w:val="26"/>
        </w:rPr>
      </w:pPr>
      <w:r>
        <w:rPr>
          <w:b w:val="0"/>
          <w:sz w:val="26"/>
          <w:szCs w:val="26"/>
        </w:rPr>
        <w:t>Взаимозаменяемост между вестниците и списанията</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Въз основа на получените отговори от анкетираните издатели и разпространители на печатни издания, ежедневните издания са насочени предимно към актуалните новини и събития в страната и с</w:t>
      </w:r>
      <w:r>
        <w:rPr>
          <w:rFonts w:ascii="Times New Roman" w:hAnsi="Times New Roman"/>
          <w:sz w:val="26"/>
          <w:szCs w:val="26"/>
        </w:rPr>
        <w:t xml:space="preserve">вета и имат най-голям пазарен дял. Седмичниците обхващат информацията за изминалия период и се фокусират върху определени тематики, а месечните са с конкретна насоченост към дадена сфера. Според тематичната им насоченост могат да се обособят на издания за </w:t>
      </w:r>
      <w:r>
        <w:rPr>
          <w:rFonts w:ascii="Times New Roman" w:hAnsi="Times New Roman"/>
          <w:sz w:val="26"/>
          <w:szCs w:val="26"/>
        </w:rPr>
        <w:t>семейството, спортни, модни, за свободното време, кулинарни, музикални, за младежи и др.</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Списанията образуват самостоятелен продуктов пазар, предвид своето предназначение, характеристика и цена. Списанията се отличават от вестниците </w:t>
      </w:r>
      <w:r>
        <w:rPr>
          <w:rFonts w:ascii="Times New Roman" w:hAnsi="Times New Roman"/>
          <w:sz w:val="26"/>
          <w:szCs w:val="26"/>
        </w:rPr>
        <w:lastRenderedPageBreak/>
        <w:t>по отношение вида и нас</w:t>
      </w:r>
      <w:r>
        <w:rPr>
          <w:rFonts w:ascii="Times New Roman" w:hAnsi="Times New Roman"/>
          <w:sz w:val="26"/>
          <w:szCs w:val="26"/>
        </w:rPr>
        <w:t>очеността на съдържащата се информация, както и цялостно оформление. Технологията на отпечатване, използваната хартия, форматът, обемът са различни от тези при вестниците, което предопределя и разликата в цената, която превишава цената на вестниците. Списа</w:t>
      </w:r>
      <w:r>
        <w:rPr>
          <w:rFonts w:ascii="Times New Roman" w:hAnsi="Times New Roman"/>
          <w:sz w:val="26"/>
          <w:szCs w:val="26"/>
        </w:rPr>
        <w:t xml:space="preserve">нията излизат веднъж седмично/ месечно или през по-дълъг период от време. Насочени са към отделни читатели и са предназначени за свободното време и за забавление на определена група читатели. Те също имат специфична насоченост и могат да бъдат разделени в </w:t>
      </w:r>
      <w:r>
        <w:rPr>
          <w:rFonts w:ascii="Times New Roman" w:hAnsi="Times New Roman"/>
          <w:sz w:val="26"/>
          <w:szCs w:val="26"/>
        </w:rPr>
        <w:t>отделни подпазари.</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Потребителското търсене на печатното издание се определя от неговото качество, начин на представяне на новините, графично оформление и др. Ето защо не може да се говори за пълна взаимозаменяемост нито между вестниците, нито между списани</w:t>
      </w:r>
      <w:r>
        <w:rPr>
          <w:rFonts w:ascii="Times New Roman" w:hAnsi="Times New Roman"/>
          <w:sz w:val="26"/>
          <w:szCs w:val="26"/>
        </w:rPr>
        <w:t>ята. При ежедневниците определящ фактор е начинът на представяне на актуалната информация, допълнителните рубрики и интервюта, както и цената. Седмичните и месечни издания са с конкретна насоченост и имат относително постоянна аудитория (ПК Мобиле Мобилес)</w:t>
      </w:r>
      <w:r>
        <w:rPr>
          <w:rFonts w:ascii="Times New Roman" w:hAnsi="Times New Roman"/>
          <w:sz w:val="26"/>
          <w:szCs w:val="26"/>
        </w:rPr>
        <w:t>. В подкрепа на горния извод е становището на МГБХ, в което се посочва, че терминът „взаимозаменяемост“ не може да бъде приложен към пазара на вестници и на списания, тъй като всеки един от тях разпространява индивидуални мнения по обществено-политически в</w:t>
      </w:r>
      <w:r>
        <w:rPr>
          <w:rFonts w:ascii="Times New Roman" w:hAnsi="Times New Roman"/>
          <w:sz w:val="26"/>
          <w:szCs w:val="26"/>
        </w:rPr>
        <w:t>ъпроси.  „Банкер“ ООД, като издател на финансово-икономическия седмичник „Банкеръ“, счита, че предвид спецификата на вестника не би могъл категорично да открои кои издатели се явяват негови конкуренти. В случая по-скоро би могло да се говори за частично пр</w:t>
      </w:r>
      <w:r>
        <w:rPr>
          <w:rFonts w:ascii="Times New Roman" w:hAnsi="Times New Roman"/>
          <w:sz w:val="26"/>
          <w:szCs w:val="26"/>
        </w:rPr>
        <w:t xml:space="preserve">ипокриване на тематика.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Според НБМГХ и дружеството - издател на в. Телеграф в холдинга („Телеграф“ ЕООД), въпросът за липсата или наличието на взаимозаменяемост между видовете печатни издания, в т.ч. между отделните вестници и между списанията, е твърде у</w:t>
      </w:r>
      <w:r>
        <w:rPr>
          <w:rFonts w:ascii="Times New Roman" w:hAnsi="Times New Roman"/>
          <w:sz w:val="26"/>
          <w:szCs w:val="26"/>
        </w:rPr>
        <w:t>словен. Дружеството счита, че взаимозаменяемостта зависи единствено от читателския интерес и доколкото към момента всеки един обществено-политически или спортен ежедневник (или седмичник) в страната, независимо от своя тираж или корична цена, имат своите ч</w:t>
      </w:r>
      <w:r>
        <w:rPr>
          <w:rFonts w:ascii="Times New Roman" w:hAnsi="Times New Roman"/>
          <w:sz w:val="26"/>
          <w:szCs w:val="26"/>
        </w:rPr>
        <w:t>итатели и продължават да се продават, това означава, че пълна взаимозаменяемост няма. Всеки ежедневник е намерил своя пазар и има своя кръг читатели, които го предпочитат пред другите вестници. На практика преминаване на читатели от един вестник или списан</w:t>
      </w:r>
      <w:r>
        <w:rPr>
          <w:rFonts w:ascii="Times New Roman" w:hAnsi="Times New Roman"/>
          <w:sz w:val="26"/>
          <w:szCs w:val="26"/>
        </w:rPr>
        <w:t>ие към друг/и такъв (такива) със сходна тематична насоченост може да се наблюдава основно поради по-добрите качества на предлаганите продукти (или поради по-ниската корична цена), но това положение не може да доведе до пълна взаимозаменяемост. В тази насок</w:t>
      </w:r>
      <w:r>
        <w:rPr>
          <w:rFonts w:ascii="Times New Roman" w:hAnsi="Times New Roman"/>
          <w:sz w:val="26"/>
          <w:szCs w:val="26"/>
        </w:rPr>
        <w:t>а е и становището на „Разпространение на печата“ АД, че не съществува пазарна ниша в печата, в която да няма поне две сходни издания, но от гледна точка на съдържанието, качеството на информацията и начина на поднасяне, изданията, които третират еднаква те</w:t>
      </w:r>
      <w:r>
        <w:rPr>
          <w:rFonts w:ascii="Times New Roman" w:hAnsi="Times New Roman"/>
          <w:sz w:val="26"/>
          <w:szCs w:val="26"/>
        </w:rPr>
        <w:t>матика, не са напълно взаимозаменяеми. Това се подчертава и от поведението на читателите, като определени издания са силно предпочитани пред конкурентите им и се продават значително по-добре.</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„Класа България“ ЕАД също счита, че на въпроса за липсата или на</w:t>
      </w:r>
      <w:r>
        <w:rPr>
          <w:rFonts w:ascii="Times New Roman" w:hAnsi="Times New Roman"/>
          <w:sz w:val="26"/>
          <w:szCs w:val="26"/>
        </w:rPr>
        <w:t xml:space="preserve">личието на взаимозаменяемост между отделните вестници и между списанията не би могло да се даде еднозначен отговор. Според дружеството </w:t>
      </w:r>
      <w:r>
        <w:rPr>
          <w:rFonts w:ascii="Times New Roman" w:hAnsi="Times New Roman"/>
          <w:sz w:val="26"/>
          <w:szCs w:val="26"/>
        </w:rPr>
        <w:lastRenderedPageBreak/>
        <w:t>читателят и неговата лична преценка са единственият важен критерий за това дали определено издание ще се реализира или не</w:t>
      </w:r>
      <w:r>
        <w:rPr>
          <w:rFonts w:ascii="Times New Roman" w:hAnsi="Times New Roman"/>
          <w:sz w:val="26"/>
          <w:szCs w:val="26"/>
        </w:rPr>
        <w:t>. Често след като определи своя избор, читателят дълго време остава свързан с конкретен вестник или списание, независимо от това, че други аналогични такива по тематика могат да предлагат по-ниска цена или по-добро списване/качество на материалите.</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 „Сега”</w:t>
      </w:r>
      <w:r>
        <w:rPr>
          <w:rFonts w:ascii="Times New Roman" w:hAnsi="Times New Roman"/>
          <w:sz w:val="26"/>
          <w:szCs w:val="26"/>
        </w:rPr>
        <w:t xml:space="preserve"> АД изразява становището, че тъй като в делничните издания се акцентира върху актуалната информация от деня и аналитичните материали за проблемите на обществото, за вътрешна и външна политика, икономика, култура и спорт, издаваният от него всекидневник мож</w:t>
      </w:r>
      <w:r>
        <w:rPr>
          <w:rFonts w:ascii="Times New Roman" w:hAnsi="Times New Roman"/>
          <w:sz w:val="26"/>
          <w:szCs w:val="26"/>
        </w:rPr>
        <w:t>е да бъде възприет като взаимозаменяем с останалите национални ежедневници. По отношение на съботното му издание, то е по-развлекателно и на страниците му има богата познавателна и практическа информация за пътувания, развлечения, почивка, любопитни истори</w:t>
      </w:r>
      <w:r>
        <w:rPr>
          <w:rFonts w:ascii="Times New Roman" w:hAnsi="Times New Roman"/>
          <w:sz w:val="26"/>
          <w:szCs w:val="26"/>
        </w:rPr>
        <w:t>и. В тази връзка, вестникът може да бъде възприет и като взаимозаменяем с останалите национални ежеседмичници или поне на част от тях.</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При списанията също не е налице взаимозаменяемост, което според „Санома Блясък България“ АД се дължи на изключително прец</w:t>
      </w:r>
      <w:r>
        <w:rPr>
          <w:rFonts w:ascii="Times New Roman" w:hAnsi="Times New Roman"/>
          <w:sz w:val="26"/>
          <w:szCs w:val="26"/>
        </w:rPr>
        <w:t>изното таргетиране на всяко едно заглавие, като се предлагат различни като тематика, структура и начин на поднасяне на информацията с цел да бъдат удовлетворени различните потребности на читателската аудитория. Списанията са със следната периодика на издав</w:t>
      </w:r>
      <w:r>
        <w:rPr>
          <w:rFonts w:ascii="Times New Roman" w:hAnsi="Times New Roman"/>
          <w:sz w:val="26"/>
          <w:szCs w:val="26"/>
        </w:rPr>
        <w:t>ане: - седмични, двуседмични,  месечни и за по-дълъг период от време. Според тематичната им насоченост, пазарът на списанията може да бъде допълнително сегментиран. Така например, в становището си до Комисията, „Санома Блясък България“ АД прави следното се</w:t>
      </w:r>
      <w:r>
        <w:rPr>
          <w:rFonts w:ascii="Times New Roman" w:hAnsi="Times New Roman"/>
          <w:sz w:val="26"/>
          <w:szCs w:val="26"/>
        </w:rPr>
        <w:t xml:space="preserve">гментиране на издаваните от дружеството списания, а именно: - луксозни дамски списания (Cosmopolitan; Elle; Harper’s BAZAAR; Story); масови списания (Блясък; Журнал за жената); специализирани списания ( National Geographic; National Geographic Kids; Моето </w:t>
      </w:r>
      <w:r>
        <w:rPr>
          <w:rFonts w:ascii="Times New Roman" w:hAnsi="Times New Roman"/>
          <w:sz w:val="26"/>
          <w:szCs w:val="26"/>
        </w:rPr>
        <w:t>дете; Кулинарен журнал; Здравен журнал; Гответе с мен). За свои преки конкуренти дружеството счита тези, които предлагат издания с близка/подобна тематика. Така например, като пряк конкурент на списания  Блясък и Story посочва сп. „Хай клуб“; на списание „</w:t>
      </w:r>
      <w:r>
        <w:rPr>
          <w:rFonts w:ascii="Times New Roman" w:hAnsi="Times New Roman"/>
          <w:sz w:val="26"/>
          <w:szCs w:val="26"/>
        </w:rPr>
        <w:t xml:space="preserve">Журнал за жената“ – в. „За жената“ и „Уикенд за жената“; на „Кулинарен журнал“ и  „Гответе с мен“ – сп. „Кулинарен уикенд“ и сп. „Бакхус“.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В своята практика</w:t>
      </w:r>
      <w:r>
        <w:rPr>
          <w:rStyle w:val="FootnoteReference"/>
          <w:rFonts w:ascii="Times New Roman" w:hAnsi="Times New Roman"/>
          <w:sz w:val="26"/>
          <w:szCs w:val="26"/>
        </w:rPr>
        <w:footnoteReference w:id="7"/>
      </w:r>
      <w:r>
        <w:rPr>
          <w:rFonts w:ascii="Times New Roman" w:hAnsi="Times New Roman"/>
          <w:sz w:val="26"/>
          <w:szCs w:val="26"/>
        </w:rPr>
        <w:t xml:space="preserve">  КЗК и ЕК обособяват издаването на вестници и списания в  следните продуктови пазари, като някои </w:t>
      </w:r>
      <w:r>
        <w:rPr>
          <w:rFonts w:ascii="Times New Roman" w:hAnsi="Times New Roman"/>
          <w:sz w:val="26"/>
          <w:szCs w:val="26"/>
        </w:rPr>
        <w:t>от тях, поради своята специфика и насоченост към определени групи читатели, сегментира в отделни подпазари, а именно:</w:t>
      </w:r>
    </w:p>
    <w:p w:rsidR="00000000" w:rsidRDefault="003E498D">
      <w:pPr>
        <w:pStyle w:val="NoSpacing"/>
        <w:contextualSpacing/>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Пазар на централни всекидневници</w:t>
      </w:r>
    </w:p>
    <w:p w:rsidR="00000000" w:rsidRDefault="003E498D">
      <w:pPr>
        <w:pStyle w:val="NoSpacing"/>
        <w:contextualSpacing/>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Пазар на регионални всекидневници</w:t>
      </w:r>
    </w:p>
    <w:p w:rsidR="00000000" w:rsidRDefault="003E498D">
      <w:pPr>
        <w:pStyle w:val="NoSpacing"/>
        <w:contextualSpacing/>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Пазар на централни всекидневници с регионална притурка</w:t>
      </w:r>
    </w:p>
    <w:p w:rsidR="00000000" w:rsidRDefault="003E498D">
      <w:pPr>
        <w:pStyle w:val="NoSpacing"/>
        <w:contextualSpacing/>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Пазар на</w:t>
      </w:r>
      <w:r>
        <w:rPr>
          <w:rFonts w:ascii="Times New Roman" w:hAnsi="Times New Roman"/>
          <w:sz w:val="26"/>
          <w:szCs w:val="26"/>
        </w:rPr>
        <w:t xml:space="preserve"> седмичниците</w:t>
      </w:r>
    </w:p>
    <w:p w:rsidR="00000000" w:rsidRDefault="003E498D">
      <w:pPr>
        <w:pStyle w:val="NoSpacing"/>
        <w:contextualSpacing/>
        <w:rPr>
          <w:rFonts w:ascii="Times New Roman" w:hAnsi="Times New Roman"/>
          <w:sz w:val="26"/>
          <w:szCs w:val="26"/>
        </w:rPr>
      </w:pPr>
      <w:r>
        <w:rPr>
          <w:rFonts w:ascii="Times New Roman" w:hAnsi="Times New Roman"/>
          <w:sz w:val="26"/>
          <w:szCs w:val="26"/>
        </w:rPr>
        <w:t xml:space="preserve">Подпазар “Семейни” </w:t>
      </w:r>
    </w:p>
    <w:p w:rsidR="00000000" w:rsidRDefault="003E498D">
      <w:pPr>
        <w:pStyle w:val="NoSpacing"/>
        <w:contextualSpacing/>
        <w:rPr>
          <w:rFonts w:ascii="Times New Roman" w:hAnsi="Times New Roman"/>
          <w:sz w:val="26"/>
          <w:szCs w:val="26"/>
        </w:rPr>
      </w:pPr>
      <w:r>
        <w:rPr>
          <w:rFonts w:ascii="Times New Roman" w:hAnsi="Times New Roman"/>
          <w:sz w:val="26"/>
          <w:szCs w:val="26"/>
        </w:rPr>
        <w:t>Подпазар “Политика и бизнес”</w:t>
      </w:r>
    </w:p>
    <w:p w:rsidR="00000000" w:rsidRDefault="003E498D">
      <w:pPr>
        <w:pStyle w:val="NoSpacing"/>
        <w:contextualSpacing/>
        <w:rPr>
          <w:rFonts w:ascii="Times New Roman" w:hAnsi="Times New Roman"/>
          <w:sz w:val="26"/>
          <w:szCs w:val="26"/>
        </w:rPr>
      </w:pPr>
      <w:r>
        <w:rPr>
          <w:rFonts w:ascii="Times New Roman" w:hAnsi="Times New Roman"/>
          <w:sz w:val="26"/>
          <w:szCs w:val="26"/>
        </w:rPr>
        <w:t xml:space="preserve">Подпазар “Автомобили” </w:t>
      </w:r>
    </w:p>
    <w:p w:rsidR="00000000" w:rsidRDefault="003E498D">
      <w:pPr>
        <w:pStyle w:val="NoSpacing"/>
        <w:contextualSpacing/>
        <w:rPr>
          <w:rFonts w:ascii="Times New Roman" w:hAnsi="Times New Roman"/>
          <w:sz w:val="26"/>
          <w:szCs w:val="26"/>
        </w:rPr>
      </w:pPr>
      <w:r>
        <w:rPr>
          <w:rFonts w:ascii="Times New Roman" w:hAnsi="Times New Roman"/>
          <w:sz w:val="26"/>
          <w:szCs w:val="26"/>
        </w:rPr>
        <w:lastRenderedPageBreak/>
        <w:t>Подпазар “Агробизнес”</w:t>
      </w:r>
    </w:p>
    <w:p w:rsidR="00000000" w:rsidRDefault="003E498D">
      <w:pPr>
        <w:pStyle w:val="NoSpacing"/>
        <w:contextualSpacing/>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Пазар на развлекателни всекидневници и седмичници</w:t>
      </w:r>
    </w:p>
    <w:p w:rsidR="00000000" w:rsidRDefault="003E498D">
      <w:pPr>
        <w:pStyle w:val="NoSpacing"/>
        <w:contextualSpacing/>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 xml:space="preserve">Пазар на списанията </w:t>
      </w:r>
    </w:p>
    <w:p w:rsidR="00000000" w:rsidRDefault="003E498D">
      <w:pPr>
        <w:pStyle w:val="NoSpacing"/>
        <w:contextualSpacing/>
        <w:rPr>
          <w:rFonts w:ascii="Times New Roman" w:hAnsi="Times New Roman"/>
          <w:sz w:val="26"/>
          <w:szCs w:val="26"/>
        </w:rPr>
      </w:pPr>
      <w:r>
        <w:rPr>
          <w:rFonts w:ascii="Times New Roman" w:hAnsi="Times New Roman"/>
          <w:sz w:val="26"/>
          <w:szCs w:val="26"/>
        </w:rPr>
        <w:t>Подпазар “За жените”</w:t>
      </w:r>
    </w:p>
    <w:p w:rsidR="00000000" w:rsidRDefault="003E498D">
      <w:pPr>
        <w:pStyle w:val="NoSpacing"/>
        <w:contextualSpacing/>
        <w:rPr>
          <w:rFonts w:ascii="Times New Roman" w:hAnsi="Times New Roman"/>
          <w:sz w:val="26"/>
          <w:szCs w:val="26"/>
        </w:rPr>
      </w:pPr>
      <w:r>
        <w:rPr>
          <w:rFonts w:ascii="Times New Roman" w:hAnsi="Times New Roman"/>
          <w:sz w:val="26"/>
          <w:szCs w:val="26"/>
        </w:rPr>
        <w:t>Подпазар “Развлекателни”</w:t>
      </w:r>
    </w:p>
    <w:p w:rsidR="00000000" w:rsidRDefault="003E498D">
      <w:pPr>
        <w:pStyle w:val="NoSpacing"/>
        <w:contextualSpacing/>
        <w:rPr>
          <w:rFonts w:ascii="Times New Roman" w:hAnsi="Times New Roman"/>
          <w:sz w:val="26"/>
          <w:szCs w:val="26"/>
        </w:rPr>
      </w:pPr>
      <w:r>
        <w:rPr>
          <w:rFonts w:ascii="Times New Roman" w:hAnsi="Times New Roman"/>
          <w:sz w:val="26"/>
          <w:szCs w:val="26"/>
        </w:rPr>
        <w:t>Подпазар “За дома – архитек</w:t>
      </w:r>
      <w:r>
        <w:rPr>
          <w:rFonts w:ascii="Times New Roman" w:hAnsi="Times New Roman"/>
          <w:sz w:val="26"/>
          <w:szCs w:val="26"/>
        </w:rPr>
        <w:t>тура и интериор”</w:t>
      </w:r>
    </w:p>
    <w:p w:rsidR="00000000" w:rsidRDefault="003E498D">
      <w:pPr>
        <w:pStyle w:val="NoSpacing"/>
        <w:contextualSpacing/>
        <w:rPr>
          <w:rFonts w:ascii="Times New Roman" w:hAnsi="Times New Roman"/>
          <w:sz w:val="26"/>
          <w:szCs w:val="26"/>
          <w:lang w:val="en-US"/>
        </w:rPr>
      </w:pPr>
      <w:r>
        <w:rPr>
          <w:rFonts w:ascii="Times New Roman" w:hAnsi="Times New Roman"/>
          <w:sz w:val="26"/>
          <w:szCs w:val="26"/>
        </w:rPr>
        <w:t>Подпазар на специализирани издания</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КЗК приема, че централните всекидневници се разпространяват на територията на цялата страна и са достъпни за всички читатели. На читателите се предлага различна информация - политическа, икономическа, соц</w:t>
      </w:r>
      <w:r>
        <w:rPr>
          <w:rFonts w:ascii="Times New Roman" w:hAnsi="Times New Roman"/>
          <w:sz w:val="26"/>
          <w:szCs w:val="26"/>
        </w:rPr>
        <w:t>иална, културна, спортна и т.н, която се формира главно от публикации, свързани с дейността на националните институции, както и от водещите световни новини.</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От релевантния продуктов пазар КЗК изключва спортните всекидневници и седмичници, поради значително</w:t>
      </w:r>
      <w:r>
        <w:rPr>
          <w:rFonts w:ascii="Times New Roman" w:hAnsi="Times New Roman"/>
          <w:sz w:val="26"/>
          <w:szCs w:val="26"/>
        </w:rPr>
        <w:t xml:space="preserve"> по-тясната тематична насоченост и специфика на информацията в тях и оттам на читателската им аудитория. В съответния пазар обаче включва централния всекидневник „Пари“, който наред с по-подробна икономическа информация предлага и обща информация, която се</w:t>
      </w:r>
      <w:r>
        <w:rPr>
          <w:rFonts w:ascii="Times New Roman" w:hAnsi="Times New Roman"/>
          <w:sz w:val="26"/>
          <w:szCs w:val="26"/>
        </w:rPr>
        <w:t xml:space="preserve"> припокрива като съдържание с останалите централни всекидневници.</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За разлика от ежедневниците, седмичните издания излизат един път седмично, обикновено в края на седмицата, и са предназначени за свободното време на читателите. Поради посоченото обстоятелст</w:t>
      </w:r>
      <w:r>
        <w:rPr>
          <w:rFonts w:ascii="Times New Roman" w:hAnsi="Times New Roman"/>
          <w:sz w:val="26"/>
          <w:szCs w:val="26"/>
        </w:rPr>
        <w:t>во те не съдържат толкова актуална информация, т.е. не отразяват своевременно информационния поток, както всекидневниците, и следователно обособяват отделен продуктов пазар. Специфичната тематична насоченост на седмичните вестници налага разграничаването н</w:t>
      </w:r>
      <w:r>
        <w:rPr>
          <w:rFonts w:ascii="Times New Roman" w:hAnsi="Times New Roman"/>
          <w:sz w:val="26"/>
          <w:szCs w:val="26"/>
        </w:rPr>
        <w:t>а отделни подпазари според различията в читателската аудитория, към които са адресирани. Така например, семейните вестници предлагат широк кръг полезна информация и развлекателни четива за всички членове на семейството, макар че в редица случаи имат и по-к</w:t>
      </w:r>
      <w:r>
        <w:rPr>
          <w:rFonts w:ascii="Times New Roman" w:hAnsi="Times New Roman"/>
          <w:sz w:val="26"/>
          <w:szCs w:val="26"/>
        </w:rPr>
        <w:t>онкретни адресати – жените или пенсионерите в съответното семейство.</w:t>
      </w:r>
    </w:p>
    <w:p w:rsidR="00000000" w:rsidRDefault="003E498D">
      <w:pPr>
        <w:ind w:firstLine="708"/>
        <w:contextualSpacing/>
        <w:jc w:val="both"/>
        <w:rPr>
          <w:rFonts w:ascii="Times New Roman" w:hAnsi="Times New Roman"/>
          <w:sz w:val="26"/>
          <w:szCs w:val="26"/>
        </w:rPr>
      </w:pPr>
    </w:p>
    <w:p w:rsidR="00000000" w:rsidRDefault="003E498D">
      <w:pPr>
        <w:pStyle w:val="Heading3"/>
        <w:contextualSpacing/>
        <w:rPr>
          <w:sz w:val="26"/>
          <w:szCs w:val="26"/>
        </w:rPr>
      </w:pPr>
      <w:r>
        <w:rPr>
          <w:b w:val="0"/>
          <w:sz w:val="26"/>
          <w:szCs w:val="26"/>
        </w:rPr>
        <w:t xml:space="preserve">Взаимозаменяемост между националните и регионални всекидневници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Регионалните всекидневници, независимо от техния тираж, не са взаимозаменяеми с централните, поради спецификата на предст</w:t>
      </w:r>
      <w:r>
        <w:rPr>
          <w:rFonts w:ascii="Times New Roman" w:hAnsi="Times New Roman"/>
          <w:sz w:val="26"/>
          <w:szCs w:val="26"/>
        </w:rPr>
        <w:t>авяната от тях информация. Основа на информационната картина на регионалните вестници са местните новини, както и част от националните, които обикновено имат връзка със съответния регион. Читателите, които искат да получат информация за националните и межд</w:t>
      </w:r>
      <w:r>
        <w:rPr>
          <w:rFonts w:ascii="Times New Roman" w:hAnsi="Times New Roman"/>
          <w:sz w:val="26"/>
          <w:szCs w:val="26"/>
        </w:rPr>
        <w:t>ународни събития, обикновено закупуват национален всекидневник. Може да се приеме, че съдържанието на националния всекидневник се припокрива с това на регионалния по отношение на спортните събития и телевизионните програми. В този смисъл читателският интер</w:t>
      </w:r>
      <w:r>
        <w:rPr>
          <w:rFonts w:ascii="Times New Roman" w:hAnsi="Times New Roman"/>
          <w:sz w:val="26"/>
          <w:szCs w:val="26"/>
        </w:rPr>
        <w:t xml:space="preserve">ес не позволява взаимозаменяемост между централните и регионалните всекидневници. Тези всекидневници се издават в самостоятелни регионални центрове и се разпространяват преимуществено в даден регион.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В заключение може да се обобщи, че регионалните издания</w:t>
      </w:r>
      <w:r>
        <w:rPr>
          <w:rFonts w:ascii="Times New Roman" w:hAnsi="Times New Roman"/>
          <w:sz w:val="26"/>
          <w:szCs w:val="26"/>
        </w:rPr>
        <w:t xml:space="preserve"> по-скоро биха изпълнявали допълваща роля, но не и такава на заместител на националните всекидневници.</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lastRenderedPageBreak/>
        <w:t>Комисията в своята практика</w:t>
      </w:r>
      <w:r>
        <w:rPr>
          <w:rStyle w:val="FootnoteReference"/>
          <w:rFonts w:ascii="Times New Roman" w:hAnsi="Times New Roman"/>
          <w:sz w:val="26"/>
          <w:szCs w:val="26"/>
        </w:rPr>
        <w:footnoteReference w:id="8"/>
      </w:r>
      <w:r>
        <w:rPr>
          <w:rFonts w:ascii="Times New Roman" w:hAnsi="Times New Roman"/>
          <w:sz w:val="26"/>
          <w:szCs w:val="26"/>
        </w:rPr>
        <w:t>, потвърдена и от съда</w:t>
      </w:r>
      <w:r>
        <w:rPr>
          <w:rStyle w:val="FootnoteReference"/>
          <w:rFonts w:ascii="Times New Roman" w:hAnsi="Times New Roman"/>
          <w:sz w:val="26"/>
          <w:szCs w:val="26"/>
        </w:rPr>
        <w:footnoteReference w:id="9"/>
      </w:r>
      <w:r>
        <w:rPr>
          <w:rFonts w:ascii="Times New Roman" w:hAnsi="Times New Roman"/>
          <w:sz w:val="26"/>
          <w:szCs w:val="26"/>
        </w:rPr>
        <w:t>, обособява в самостоятелен продуктов пазар централните ежедневници с притурки.  В своите решения прие</w:t>
      </w:r>
      <w:r>
        <w:rPr>
          <w:rFonts w:ascii="Times New Roman" w:hAnsi="Times New Roman"/>
          <w:sz w:val="26"/>
          <w:szCs w:val="26"/>
        </w:rPr>
        <w:t>ма, че централните вестници с регионални притурки представляват комплексен продукт, който се отличава както от централните, така и от регионалните всекидневници, поради своята специфика. Този вид вестници носят информация, която е в състояние да задоволи е</w:t>
      </w:r>
      <w:r>
        <w:rPr>
          <w:rFonts w:ascii="Times New Roman" w:hAnsi="Times New Roman"/>
          <w:sz w:val="26"/>
          <w:szCs w:val="26"/>
        </w:rPr>
        <w:t>дно характерно търсене, обусловено от териториален признак, и не може да задоволи същото в друг регион на страната. В този смисъл се формира самостоятелен продуктов пазар, ограничен географски в рамките на градовете, в които се разпространява.</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При извършва</w:t>
      </w:r>
      <w:r>
        <w:rPr>
          <w:rFonts w:ascii="Times New Roman" w:hAnsi="Times New Roman"/>
          <w:sz w:val="26"/>
          <w:szCs w:val="26"/>
        </w:rPr>
        <w:t>нето на настоящия секторен анализ, според някои от анкетираните регионални издатели („Черно море прес“ ЕООД, Бургас и Издателска къща „Марица“ ООД, Пловдив) издаваните от тях вестници се конкурират с националните ежедневници с регионални притурки на вестни</w:t>
      </w:r>
      <w:r>
        <w:rPr>
          <w:rFonts w:ascii="Times New Roman" w:hAnsi="Times New Roman"/>
          <w:sz w:val="26"/>
          <w:szCs w:val="26"/>
        </w:rPr>
        <w:t>ците „24 часа“ и „Труд“.</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Освен регионални притурки, някои вестници периодично предлагат и тематични притурки за здраве, строителство и архитектура, автомобили, имоти и др. По този начин разширяват кръга на темите и се обръщат към различни кръгове читатели,</w:t>
      </w:r>
      <w:r>
        <w:rPr>
          <w:rFonts w:ascii="Times New Roman" w:hAnsi="Times New Roman"/>
          <w:sz w:val="26"/>
          <w:szCs w:val="26"/>
        </w:rPr>
        <w:t xml:space="preserve"> без обаче да навлизат на територията на специализираните в съответната област издания. Така например, съгласно информацията в ГФО на МГБХ, към изданията на групата са предлагани допълнителни медийни продукти – колекции книги (книжната поредица Приказна ко</w:t>
      </w:r>
      <w:r>
        <w:rPr>
          <w:rFonts w:ascii="Times New Roman" w:hAnsi="Times New Roman"/>
          <w:sz w:val="26"/>
          <w:szCs w:val="26"/>
        </w:rPr>
        <w:t xml:space="preserve">лекция на Дисни, Крале на криминалния роман; Голяма енциклопедия България и др.) и DVD.  </w:t>
      </w:r>
    </w:p>
    <w:p w:rsidR="00000000" w:rsidRDefault="003E498D">
      <w:pPr>
        <w:ind w:firstLine="708"/>
        <w:contextualSpacing/>
        <w:jc w:val="both"/>
        <w:rPr>
          <w:rFonts w:ascii="Times New Roman" w:hAnsi="Times New Roman"/>
          <w:sz w:val="26"/>
          <w:szCs w:val="26"/>
        </w:rPr>
      </w:pPr>
    </w:p>
    <w:p w:rsidR="00000000" w:rsidRDefault="003E498D">
      <w:pPr>
        <w:pStyle w:val="Heading3"/>
        <w:contextualSpacing/>
        <w:rPr>
          <w:sz w:val="26"/>
          <w:szCs w:val="26"/>
        </w:rPr>
      </w:pPr>
      <w:r>
        <w:rPr>
          <w:b w:val="0"/>
          <w:sz w:val="26"/>
          <w:szCs w:val="26"/>
        </w:rPr>
        <w:t>Взаимозаменяемост на печатните издания (вестници и списания) с електронните издания</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По-голямата част от анкетираните издатели на вестници (националните всекидневници</w:t>
      </w:r>
      <w:r>
        <w:rPr>
          <w:rFonts w:ascii="Times New Roman" w:hAnsi="Times New Roman"/>
          <w:sz w:val="26"/>
          <w:szCs w:val="26"/>
        </w:rPr>
        <w:t xml:space="preserve"> и седмичници)  и списания освен в печатен вид предлагат своите издания и в електронен вариант. В тази връзка бе отправено запитване до издателите и разпространителите на вестници и списания, доколко може да се приеме, че е налице взаимозаменяемост между п</w:t>
      </w:r>
      <w:r>
        <w:rPr>
          <w:rFonts w:ascii="Times New Roman" w:hAnsi="Times New Roman"/>
          <w:sz w:val="26"/>
          <w:szCs w:val="26"/>
        </w:rPr>
        <w:t>ечатните и електронните издания. В резултат на постъпилите отговори, като цяло може да се приеме, че към момента не съществува пълна взаимозаменяемост на печатните и електронните издания, въпреки съществуващата тенденция за пренасочване на читатели от печа</w:t>
      </w:r>
      <w:r>
        <w:rPr>
          <w:rFonts w:ascii="Times New Roman" w:hAnsi="Times New Roman"/>
          <w:sz w:val="26"/>
          <w:szCs w:val="26"/>
        </w:rPr>
        <w:t xml:space="preserve">тните издания, и по-специално на вестниците, към електронните им издания. Последните са предимно със сбити статии и в основни линии при тях липсват аналитичните публикации и статиите с коментари. За да могат читателите да виждат статиите във вида, в който </w:t>
      </w:r>
      <w:r>
        <w:rPr>
          <w:rFonts w:ascii="Times New Roman" w:hAnsi="Times New Roman"/>
          <w:sz w:val="26"/>
          <w:szCs w:val="26"/>
        </w:rPr>
        <w:t>те са подредени за печатните издания, трябва да имат дигитален абонамент, т.е. PDF версиите на вестниците са налични само за абонати (например вестниците „Капитал“и „Капитал Дейли“). За разлика от вестниците на  Групата Икономедиа, издаваните от тази група</w:t>
      </w:r>
      <w:r>
        <w:rPr>
          <w:rFonts w:ascii="Times New Roman" w:hAnsi="Times New Roman"/>
          <w:sz w:val="26"/>
          <w:szCs w:val="26"/>
        </w:rPr>
        <w:t xml:space="preserve"> списания „Регал“, „Бакхус“ и „Хоремаг“ се публикуват в сайтовете им и са налични свободно, без абонамент, но е налице забавяне между излизането на съответното печатно издание и публикуването му в интернет.</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lastRenderedPageBreak/>
        <w:t>Според „Новинар медиа“ АД заменяемост на електрон</w:t>
      </w:r>
      <w:r>
        <w:rPr>
          <w:rFonts w:ascii="Times New Roman" w:hAnsi="Times New Roman"/>
          <w:sz w:val="26"/>
          <w:szCs w:val="26"/>
        </w:rPr>
        <w:t xml:space="preserve">ните и печатни издания е възможна и до голяма степен е факт само и единствено за малка и ограничена таргет-група потребители, които имат реален достъп до средствата за електронна интернет комуникация. Това обаче са хора, преди всичко работещи и в по-ранна </w:t>
      </w:r>
      <w:r>
        <w:rPr>
          <w:rFonts w:ascii="Times New Roman" w:hAnsi="Times New Roman"/>
          <w:sz w:val="26"/>
          <w:szCs w:val="26"/>
        </w:rPr>
        <w:t xml:space="preserve">възраст, които по принцип имат значително по-малък интерес към традиционните форми на представяне на информацията (на хартия) и не купуват вестници. От друга страна, електронните форми на представяне на информацията предоставят възможността за много бързо </w:t>
      </w:r>
      <w:r>
        <w:rPr>
          <w:rFonts w:ascii="Times New Roman" w:hAnsi="Times New Roman"/>
          <w:sz w:val="26"/>
          <w:szCs w:val="26"/>
        </w:rPr>
        <w:t>отразяване на актуални събития, докато за хартиените издания това е невъзможно. Място в печатните издания намират преди всичко журналистически материали, представляващи форма на анализ на събития за по-голям времеви диапазон, докато чисто новинарския метод</w:t>
      </w:r>
      <w:r>
        <w:rPr>
          <w:rFonts w:ascii="Times New Roman" w:hAnsi="Times New Roman"/>
          <w:sz w:val="26"/>
          <w:szCs w:val="26"/>
        </w:rPr>
        <w:t xml:space="preserve"> на журналистика намира по-голямо приложение и бъдеще в електронните издания.</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Независимо, че издателите имат и електронен вариант на съответния вестник или списание, опитът показва, че лоялните им читатели са свикнали и предпочитат  хартиения носител,  наб</w:t>
      </w:r>
      <w:r>
        <w:rPr>
          <w:rFonts w:ascii="Times New Roman" w:hAnsi="Times New Roman"/>
          <w:sz w:val="26"/>
          <w:szCs w:val="26"/>
        </w:rPr>
        <w:t>авяйки си го чрез павилионите за продажба  или с абонамент, пред електронния (отг. на „Черноморски Фар” ЕАД, издаващ регионален всекидневник). Друга отличителна черта на електронното издание е това, че новините постоянно се обновяват, докато в печатното из</w:t>
      </w:r>
      <w:r>
        <w:rPr>
          <w:rFonts w:ascii="Times New Roman" w:hAnsi="Times New Roman"/>
          <w:sz w:val="26"/>
          <w:szCs w:val="26"/>
        </w:rPr>
        <w:t>дание новините са от предишния ден (отг. „Сега“ АД).</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Също така в Решение № 823/2007 г. („Икономедиа“ АД/“София ехо медия“ ЕООД) КЗК приема, че при предлагането на онлайн изданията липсва географска или друга зависимост, и поради особеностите на същественит</w:t>
      </w:r>
      <w:r>
        <w:rPr>
          <w:rFonts w:ascii="Times New Roman" w:hAnsi="Times New Roman"/>
          <w:sz w:val="26"/>
          <w:szCs w:val="26"/>
        </w:rPr>
        <w:t>е им характеристики не могат да бъдат овеществени в понятието географски принцип и могат да бъдат ползвани от всяка една точка на света, до която има Интернет връзка.</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Относно взаимозаменяемостта между печатното издания на списанието и електронния му вариан</w:t>
      </w:r>
      <w:r>
        <w:rPr>
          <w:rFonts w:ascii="Times New Roman" w:hAnsi="Times New Roman"/>
          <w:sz w:val="26"/>
          <w:szCs w:val="26"/>
        </w:rPr>
        <w:t xml:space="preserve">т, „Санома Блясък България“ АД като дружество, което издава списания с различна тематика и периодичност с цел удовлетворяването на различни потребности на многопрофилната читателска аудитория, посочва, че липсва взаимозаменяемост между двата носителя, тъй </w:t>
      </w:r>
      <w:r>
        <w:rPr>
          <w:rFonts w:ascii="Times New Roman" w:hAnsi="Times New Roman"/>
          <w:sz w:val="26"/>
          <w:szCs w:val="26"/>
        </w:rPr>
        <w:t>като съдържанието им е различно.</w:t>
      </w:r>
    </w:p>
    <w:p w:rsidR="00000000" w:rsidRDefault="003E498D">
      <w:pPr>
        <w:ind w:firstLine="708"/>
        <w:contextualSpacing/>
        <w:jc w:val="both"/>
        <w:rPr>
          <w:rFonts w:ascii="Times New Roman" w:hAnsi="Times New Roman"/>
          <w:sz w:val="26"/>
          <w:szCs w:val="26"/>
        </w:rPr>
      </w:pPr>
    </w:p>
    <w:p w:rsidR="00000000" w:rsidRDefault="003E498D">
      <w:pPr>
        <w:pStyle w:val="Heading3"/>
        <w:contextualSpacing/>
        <w:rPr>
          <w:sz w:val="26"/>
          <w:szCs w:val="26"/>
        </w:rPr>
      </w:pPr>
      <w:r>
        <w:rPr>
          <w:b w:val="0"/>
          <w:sz w:val="26"/>
          <w:szCs w:val="26"/>
        </w:rPr>
        <w:t>Взаимозаменяемост на платените печатни издания с безплатните</w:t>
      </w:r>
    </w:p>
    <w:p w:rsidR="00000000" w:rsidRDefault="003E498D">
      <w:pPr>
        <w:ind w:firstLine="708"/>
        <w:contextualSpacing/>
        <w:jc w:val="both"/>
        <w:rPr>
          <w:rFonts w:ascii="Times New Roman" w:hAnsi="Times New Roman"/>
          <w:sz w:val="26"/>
          <w:szCs w:val="26"/>
          <w:lang w:val="en-US"/>
        </w:rPr>
      </w:pPr>
      <w:r>
        <w:rPr>
          <w:rFonts w:ascii="Times New Roman" w:hAnsi="Times New Roman"/>
          <w:sz w:val="26"/>
          <w:szCs w:val="26"/>
        </w:rPr>
        <w:t>Не е налице взаимозаменяемост и между платените и безплатни вестници. Последните в основни линии са в различен формат, разчитат на непретенциозността на читателс</w:t>
      </w:r>
      <w:r>
        <w:rPr>
          <w:rFonts w:ascii="Times New Roman" w:hAnsi="Times New Roman"/>
          <w:sz w:val="26"/>
          <w:szCs w:val="26"/>
        </w:rPr>
        <w:t>ката аудитория, предлагат малко на брой новини и информацията в тях е в твърде сбит формат, без да претендира за широкообхватност. Насоката на такива безплатни вестници обикновено е рекламата и те не залагат на качество на списваните материали, т.е. имат р</w:t>
      </w:r>
      <w:r>
        <w:rPr>
          <w:rFonts w:ascii="Times New Roman" w:hAnsi="Times New Roman"/>
          <w:sz w:val="26"/>
          <w:szCs w:val="26"/>
        </w:rPr>
        <w:t>азлична насоченост и цели, както и различен механизъм на разпространение (предлагат се директно на клиента – на улицата). Ето защо не могат да разчитат на постоянна читателска аудитория, тъй като не покриват нуждите на читателя от информация, тъй като съща</w:t>
      </w:r>
      <w:r>
        <w:rPr>
          <w:rFonts w:ascii="Times New Roman" w:hAnsi="Times New Roman"/>
          <w:sz w:val="26"/>
          <w:szCs w:val="26"/>
        </w:rPr>
        <w:t xml:space="preserve">та е крайно ограничена. Предвид икономическата криза и свиването на приходите от реклама, тези вестници е много трудно да се реализират, което довежда и до прекратяване издаването на някои от тях (напр. </w:t>
      </w:r>
      <w:r>
        <w:rPr>
          <w:rFonts w:ascii="Times New Roman" w:hAnsi="Times New Roman"/>
          <w:sz w:val="26"/>
          <w:szCs w:val="26"/>
        </w:rPr>
        <w:lastRenderedPageBreak/>
        <w:t>„Градски вестник“), в. Анонс (издател Россел Медия Бъ</w:t>
      </w:r>
      <w:r>
        <w:rPr>
          <w:rFonts w:ascii="Times New Roman" w:hAnsi="Times New Roman"/>
          <w:sz w:val="26"/>
          <w:szCs w:val="26"/>
        </w:rPr>
        <w:t xml:space="preserve">лгария, разпространяван в София, В.Търново и Пловдив) и в.19’, издател БАЛ Медия АД, а в. „Република“ се предлага вече като платено издание. </w:t>
      </w:r>
    </w:p>
    <w:p w:rsidR="00000000" w:rsidRDefault="003E498D">
      <w:pPr>
        <w:ind w:firstLine="708"/>
        <w:contextualSpacing/>
        <w:jc w:val="both"/>
        <w:rPr>
          <w:rFonts w:ascii="Times New Roman" w:hAnsi="Times New Roman"/>
          <w:sz w:val="26"/>
          <w:szCs w:val="26"/>
          <w:lang w:val="en-US"/>
        </w:rPr>
      </w:pPr>
    </w:p>
    <w:p w:rsidR="00000000" w:rsidRDefault="003E498D">
      <w:pPr>
        <w:pStyle w:val="Heading2"/>
        <w:spacing w:before="0"/>
        <w:contextualSpacing/>
        <w:rPr>
          <w:rFonts w:ascii="Times New Roman" w:hAnsi="Times New Roman"/>
          <w:u w:val="single"/>
        </w:rPr>
      </w:pPr>
      <w:r>
        <w:rPr>
          <w:rFonts w:ascii="Times New Roman" w:hAnsi="Times New Roman"/>
          <w:b w:val="0"/>
          <w:color w:val="auto"/>
          <w:u w:val="single"/>
        </w:rPr>
        <w:t xml:space="preserve">Географски пазар на издаване на вестници и списания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При дефиниране на географския обхват следва да се има предви</w:t>
      </w:r>
      <w:r>
        <w:rPr>
          <w:rFonts w:ascii="Times New Roman" w:hAnsi="Times New Roman"/>
          <w:sz w:val="26"/>
          <w:szCs w:val="26"/>
        </w:rPr>
        <w:t>д територията, на която се разпространява съответният продукт, както и възможните специфики при разпространението на продукта в отделни географски области и региони.</w:t>
      </w:r>
      <w:r>
        <w:rPr>
          <w:rFonts w:ascii="Times New Roman" w:hAnsi="Times New Roman"/>
          <w:sz w:val="26"/>
          <w:szCs w:val="26"/>
        </w:rPr>
        <w:tab/>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Издателската дейност, свързана с издаването на българските печатни издания, е с национале</w:t>
      </w:r>
      <w:r>
        <w:rPr>
          <w:rFonts w:ascii="Times New Roman" w:hAnsi="Times New Roman"/>
          <w:sz w:val="26"/>
          <w:szCs w:val="26"/>
        </w:rPr>
        <w:t>н географски обхват, предвид особеностите на говоримия език, културните специфики и националната тематика на печата във всяка една страна</w:t>
      </w:r>
      <w:r>
        <w:rPr>
          <w:rStyle w:val="FootnoteReference"/>
          <w:rFonts w:ascii="Times New Roman" w:hAnsi="Times New Roman"/>
          <w:sz w:val="26"/>
          <w:szCs w:val="26"/>
        </w:rPr>
        <w:footnoteReference w:id="10"/>
      </w:r>
      <w:r>
        <w:rPr>
          <w:rFonts w:ascii="Times New Roman" w:hAnsi="Times New Roman"/>
          <w:sz w:val="26"/>
          <w:szCs w:val="26"/>
        </w:rPr>
        <w:t>. В същото време регионалните вестници и списания се разпространяват основно на територията на съответната област/реги</w:t>
      </w:r>
      <w:r>
        <w:rPr>
          <w:rFonts w:ascii="Times New Roman" w:hAnsi="Times New Roman"/>
          <w:sz w:val="26"/>
          <w:szCs w:val="26"/>
        </w:rPr>
        <w:t>он, като съвсем малки количества от съответните издания се разпространяват чрез абонамент в други градове. Така например „Прес група Утро“ ЕООД, Русе разпространява своя вестник на територията на Русенска област, като незначително количество от тиража се п</w:t>
      </w:r>
      <w:r>
        <w:rPr>
          <w:rFonts w:ascii="Times New Roman" w:hAnsi="Times New Roman"/>
          <w:sz w:val="26"/>
          <w:szCs w:val="26"/>
        </w:rPr>
        <w:t>редлага чрез абонамент в гр. София, по силата на сключен договор за набиране на абонамент с</w:t>
      </w:r>
      <w:r>
        <w:rPr>
          <w:rFonts w:ascii="Times New Roman" w:hAnsi="Times New Roman"/>
          <w:color w:val="FF0000"/>
          <w:sz w:val="26"/>
          <w:szCs w:val="26"/>
        </w:rPr>
        <w:t xml:space="preserve">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sz w:val="26"/>
          <w:szCs w:val="26"/>
        </w:rPr>
        <w:t xml:space="preserve"> „Издателска къща Марица“ ООД, Пловдив разпространява своите всекидневници (в. „Марица“ и в. „Пазарджишка Марица“) в Пловдивска, Пазарджишка и Смолянска облас</w:t>
      </w:r>
      <w:r>
        <w:rPr>
          <w:rFonts w:ascii="Times New Roman" w:hAnsi="Times New Roman"/>
          <w:sz w:val="26"/>
          <w:szCs w:val="26"/>
        </w:rPr>
        <w:t>т, а „Черно море прес“ ЕООД, Варна предлага ежедневника си в. „Черно море“ на територията на областите Варна и Добрич. Предвид обхвата на разпространение на регионалните вестници може да се приеме, че техните издатели оперират в граници по-тесни от национа</w:t>
      </w:r>
      <w:r>
        <w:rPr>
          <w:rFonts w:ascii="Times New Roman" w:hAnsi="Times New Roman"/>
          <w:sz w:val="26"/>
          <w:szCs w:val="26"/>
        </w:rPr>
        <w:t xml:space="preserve">лните.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В свое решение (№ 635/2008 г.) КЗК е приела, че географският пазар е национален, независимо че придобиваното дружество е регионален издател, тъй като при периодичните издания важи правилото за липса на географска или друга зависимост при тяхното пр</w:t>
      </w:r>
      <w:r>
        <w:rPr>
          <w:rFonts w:ascii="Times New Roman" w:hAnsi="Times New Roman"/>
          <w:sz w:val="26"/>
          <w:szCs w:val="26"/>
        </w:rPr>
        <w:t xml:space="preserve">едлагане и конкурентните условия са хомогенни за цялата територия на страната.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Въз основа на гореизложеното може да се направят следните изводи: Не е налице взаимозаменяемост на радио- и телевизионните новини с националните/регионалните вестници, както и </w:t>
      </w:r>
      <w:r>
        <w:rPr>
          <w:rFonts w:ascii="Times New Roman" w:hAnsi="Times New Roman"/>
          <w:sz w:val="26"/>
          <w:szCs w:val="26"/>
        </w:rPr>
        <w:t xml:space="preserve">между регионалните и националните вестници. Също така пазарът се характеризира с голяма степен на продуктова диференциация, като всяко едно заглавие е уникално по своето съдържание. </w:t>
      </w:r>
      <w:r>
        <w:rPr>
          <w:rFonts w:ascii="Times New Roman" w:hAnsi="Times New Roman"/>
          <w:color w:val="000000"/>
          <w:sz w:val="26"/>
          <w:szCs w:val="26"/>
        </w:rPr>
        <w:t>Ето защо продуктовата и географска дефиниция на пазара при издаването на в</w:t>
      </w:r>
      <w:r>
        <w:rPr>
          <w:rFonts w:ascii="Times New Roman" w:hAnsi="Times New Roman"/>
          <w:color w:val="000000"/>
          <w:sz w:val="26"/>
          <w:szCs w:val="26"/>
        </w:rPr>
        <w:t>естници и списания могат да бъдат разширени, стеснени или сегментирани</w:t>
      </w:r>
      <w:r>
        <w:rPr>
          <w:rFonts w:ascii="Times New Roman" w:hAnsi="Times New Roman"/>
          <w:color w:val="4F81BD"/>
          <w:sz w:val="26"/>
          <w:szCs w:val="26"/>
        </w:rPr>
        <w:t xml:space="preserve"> </w:t>
      </w:r>
      <w:r>
        <w:rPr>
          <w:rFonts w:ascii="Times New Roman" w:hAnsi="Times New Roman"/>
          <w:sz w:val="26"/>
          <w:szCs w:val="26"/>
        </w:rPr>
        <w:t xml:space="preserve">допълнително в зависимост от конкретния случай (проучване на злоупотреби; съгласувани практики и оценка на концентрация между предприятия).    </w:t>
      </w:r>
    </w:p>
    <w:p w:rsidR="00000000" w:rsidRDefault="003E498D">
      <w:pPr>
        <w:ind w:firstLine="708"/>
        <w:contextualSpacing/>
        <w:jc w:val="both"/>
        <w:rPr>
          <w:rFonts w:ascii="Times New Roman" w:hAnsi="Times New Roman"/>
          <w:sz w:val="26"/>
          <w:szCs w:val="26"/>
        </w:rPr>
      </w:pPr>
    </w:p>
    <w:p w:rsidR="00000000" w:rsidRDefault="003E498D">
      <w:pPr>
        <w:pStyle w:val="Heading3"/>
        <w:contextualSpacing/>
        <w:rPr>
          <w:sz w:val="26"/>
          <w:szCs w:val="26"/>
        </w:rPr>
      </w:pPr>
      <w:r>
        <w:rPr>
          <w:b w:val="0"/>
          <w:sz w:val="26"/>
          <w:szCs w:val="26"/>
        </w:rPr>
        <w:t>Разпространение (дистрибуция) на печатни</w:t>
      </w:r>
      <w:r>
        <w:rPr>
          <w:b w:val="0"/>
          <w:sz w:val="26"/>
          <w:szCs w:val="26"/>
        </w:rPr>
        <w:t xml:space="preserve">те издания </w:t>
      </w:r>
    </w:p>
    <w:p w:rsidR="00000000" w:rsidRDefault="003E498D">
      <w:pPr>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 xml:space="preserve">Независимо, че вестниците и списанията са различни продукти, тяхното разпространение следва да се разглежда като единен пазар, тъй като се извършва по един и същи начин. И единият, и другият продукт достигат до крайния </w:t>
      </w:r>
      <w:r>
        <w:rPr>
          <w:rFonts w:ascii="Times New Roman" w:hAnsi="Times New Roman"/>
          <w:sz w:val="26"/>
          <w:szCs w:val="26"/>
        </w:rPr>
        <w:lastRenderedPageBreak/>
        <w:t>потребител чрез обектите</w:t>
      </w:r>
      <w:r>
        <w:rPr>
          <w:rFonts w:ascii="Times New Roman" w:hAnsi="Times New Roman"/>
          <w:sz w:val="26"/>
          <w:szCs w:val="26"/>
        </w:rPr>
        <w:t xml:space="preserve"> за търговия, в които се предлага цялата гама от издания и съпътстващи продукти. Разликата е само в периода, през който изданието стои в обектите за крайна продажба (крайните пунктове) –ежедневниците се предлагат в рамките на деня, съответно седмичните в р</w:t>
      </w:r>
      <w:r>
        <w:rPr>
          <w:rFonts w:ascii="Times New Roman" w:hAnsi="Times New Roman"/>
          <w:sz w:val="26"/>
          <w:szCs w:val="26"/>
        </w:rPr>
        <w:t xml:space="preserve">амките на седмицата, а понякога и повече, а месечните - за съответния месец или за по-голям период.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Също така с цел да оптимизира разходите си по разпространението на печатните издания, разпространителят е заинтересован да дистрибутира както вестници, так</w:t>
      </w:r>
      <w:r>
        <w:rPr>
          <w:rFonts w:ascii="Times New Roman" w:hAnsi="Times New Roman"/>
          <w:sz w:val="26"/>
          <w:szCs w:val="26"/>
        </w:rPr>
        <w:t xml:space="preserve">а и списания. Принципно разходите по разпространение на вестници са значително по-високи, тъй като доставките са ежедневни и имат значително по-големи транспортни разходи, за разлика от списанията, където доставките не са ежедневни, нито обвързани с краен </w:t>
      </w:r>
      <w:r>
        <w:rPr>
          <w:rFonts w:ascii="Times New Roman" w:hAnsi="Times New Roman"/>
          <w:sz w:val="26"/>
          <w:szCs w:val="26"/>
        </w:rPr>
        <w:t>час на получаване. Предлагането на по-голям брой издания от един търговец води до намаляване на транспортните разходи, на разходите за комуникации, оптимизация на работата и договаряне на по-добри условия за разпространение и отстъпки на следващото ниво на</w:t>
      </w:r>
      <w:r>
        <w:rPr>
          <w:rFonts w:ascii="Times New Roman" w:hAnsi="Times New Roman"/>
          <w:sz w:val="26"/>
          <w:szCs w:val="26"/>
        </w:rPr>
        <w:t xml:space="preserve"> разпространение. Следователно обособяването им в единен пазар е свързано с търговския интерес и стремеж на разпространителите да предлагат повече издания, което води до увеличаване броя на клиентите и реализиране на повече продажби. Съгласно постъпилата в</w:t>
      </w:r>
      <w:r>
        <w:rPr>
          <w:rFonts w:ascii="Times New Roman" w:hAnsi="Times New Roman"/>
          <w:sz w:val="26"/>
          <w:szCs w:val="26"/>
        </w:rPr>
        <w:t xml:space="preserve"> КЗК информация и справки, разпространителите предлагат вестници и списания от всички тематични групи и с различна периодика на издаване.  </w:t>
      </w:r>
    </w:p>
    <w:p w:rsidR="00000000" w:rsidRDefault="003E498D">
      <w:pPr>
        <w:ind w:firstLine="708"/>
        <w:contextualSpacing/>
        <w:jc w:val="both"/>
        <w:rPr>
          <w:rFonts w:ascii="Times New Roman" w:hAnsi="Times New Roman"/>
          <w:sz w:val="26"/>
          <w:szCs w:val="26"/>
          <w:lang w:val="en-US"/>
        </w:rPr>
      </w:pPr>
      <w:r>
        <w:rPr>
          <w:rFonts w:ascii="Times New Roman" w:hAnsi="Times New Roman"/>
          <w:sz w:val="26"/>
          <w:szCs w:val="26"/>
        </w:rPr>
        <w:t>В резултат на извършения секторен анализ, разпространението на печатни издания може условно да се обособи в два само</w:t>
      </w:r>
      <w:r>
        <w:rPr>
          <w:rFonts w:ascii="Times New Roman" w:hAnsi="Times New Roman"/>
          <w:sz w:val="26"/>
          <w:szCs w:val="26"/>
        </w:rPr>
        <w:t xml:space="preserve">стоятелни вертикално свързани продуктови пазара, а именно разпространение на вестници и списания на едро и на дребно. </w:t>
      </w:r>
    </w:p>
    <w:p w:rsidR="00000000" w:rsidRDefault="003E498D">
      <w:pPr>
        <w:ind w:firstLine="708"/>
        <w:contextualSpacing/>
        <w:jc w:val="both"/>
        <w:rPr>
          <w:rFonts w:ascii="Times New Roman" w:hAnsi="Times New Roman"/>
          <w:sz w:val="26"/>
          <w:szCs w:val="26"/>
        </w:rPr>
      </w:pPr>
      <w:r>
        <w:rPr>
          <w:rFonts w:ascii="Times New Roman" w:hAnsi="Times New Roman"/>
          <w:b/>
          <w:sz w:val="26"/>
          <w:szCs w:val="26"/>
        </w:rPr>
        <w:t>Разпространител на едро</w:t>
      </w:r>
      <w:r>
        <w:rPr>
          <w:rFonts w:ascii="Times New Roman" w:hAnsi="Times New Roman"/>
          <w:sz w:val="26"/>
          <w:szCs w:val="26"/>
        </w:rPr>
        <w:t xml:space="preserve"> е лице, което купува директно от издателите големи обеми от вестници и списания и ги доставя на други, по-малки ф</w:t>
      </w:r>
      <w:r>
        <w:rPr>
          <w:rFonts w:ascii="Times New Roman" w:hAnsi="Times New Roman"/>
          <w:sz w:val="26"/>
          <w:szCs w:val="26"/>
        </w:rPr>
        <w:t>ирми в отделните населени места и региони, които разполагат с павилиони и сергии за продажба на дребно. Така наречените търговци на едро поддържат преки контакти с издателите или с определените от тях генерални дистрибутори и осигуряват цялостната логистик</w:t>
      </w:r>
      <w:r>
        <w:rPr>
          <w:rFonts w:ascii="Times New Roman" w:hAnsi="Times New Roman"/>
          <w:sz w:val="26"/>
          <w:szCs w:val="26"/>
        </w:rPr>
        <w:t>а. Съгласно становището на «Пресгрупа Утро» ЕООД, Русе под понятието „търговец на едро“ следва да се разбира само разпространител от т.н. „първо ниво“, а именно тези, които влизат в преки отношения с издателите  и имат бизнес отношения с дистрибутори на др</w:t>
      </w:r>
      <w:r>
        <w:rPr>
          <w:rFonts w:ascii="Times New Roman" w:hAnsi="Times New Roman"/>
          <w:sz w:val="26"/>
          <w:szCs w:val="26"/>
        </w:rPr>
        <w:t>ебно.</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Според  „Торнадо  Медиа“ ООД дистрибутори на едро са и тези, които имат и директни контакти с разпространители от „първо ниво“. Също така при разпространението на национални ежедневници, с оглед кратката „годност“ на продукта, за крайния потребител е</w:t>
      </w:r>
      <w:r>
        <w:rPr>
          <w:rFonts w:ascii="Times New Roman" w:hAnsi="Times New Roman"/>
          <w:sz w:val="26"/>
          <w:szCs w:val="26"/>
        </w:rPr>
        <w:t xml:space="preserve"> от значение локацията на пункта за продажби и часовия пояс на закупуване (обикновено преди 10.00.ч.), което определя разграничаването на пазарите на разпространение на едро и на дребно. </w:t>
      </w:r>
    </w:p>
    <w:p w:rsidR="00000000" w:rsidRDefault="003E498D">
      <w:pPr>
        <w:ind w:firstLine="708"/>
        <w:contextualSpacing/>
        <w:jc w:val="both"/>
        <w:rPr>
          <w:rFonts w:ascii="Times New Roman" w:hAnsi="Times New Roman"/>
          <w:sz w:val="26"/>
          <w:szCs w:val="26"/>
          <w:lang w:val="en-US"/>
        </w:rPr>
      </w:pPr>
      <w:r>
        <w:rPr>
          <w:rFonts w:ascii="Times New Roman" w:hAnsi="Times New Roman"/>
          <w:sz w:val="26"/>
          <w:szCs w:val="26"/>
        </w:rPr>
        <w:t>Съгласно получената в хода на анализа информация и доказателства, мо</w:t>
      </w:r>
      <w:r>
        <w:rPr>
          <w:rFonts w:ascii="Times New Roman" w:hAnsi="Times New Roman"/>
          <w:sz w:val="26"/>
          <w:szCs w:val="26"/>
        </w:rPr>
        <w:t>же да се направи извод, че на пазара липсва ясно обособен търговец на едро. Обичайна практика е почти всички дистрибутори да оперират освен като търговци на едро, така и да имат своя мрежа от крайни точки за продажба на печатни издания.</w:t>
      </w:r>
    </w:p>
    <w:p w:rsidR="00000000" w:rsidRDefault="003E498D">
      <w:pPr>
        <w:ind w:firstLine="708"/>
        <w:contextualSpacing/>
        <w:jc w:val="both"/>
        <w:rPr>
          <w:rFonts w:ascii="Times New Roman" w:hAnsi="Times New Roman"/>
          <w:sz w:val="26"/>
          <w:szCs w:val="26"/>
        </w:rPr>
      </w:pPr>
      <w:r>
        <w:rPr>
          <w:rFonts w:ascii="Times New Roman" w:hAnsi="Times New Roman"/>
          <w:b/>
          <w:sz w:val="26"/>
          <w:szCs w:val="26"/>
        </w:rPr>
        <w:lastRenderedPageBreak/>
        <w:t>Разпространителят н</w:t>
      </w:r>
      <w:r>
        <w:rPr>
          <w:rFonts w:ascii="Times New Roman" w:hAnsi="Times New Roman"/>
          <w:b/>
          <w:sz w:val="26"/>
          <w:szCs w:val="26"/>
        </w:rPr>
        <w:t>а дребно</w:t>
      </w:r>
      <w:r>
        <w:rPr>
          <w:rFonts w:ascii="Times New Roman" w:hAnsi="Times New Roman"/>
          <w:sz w:val="26"/>
          <w:szCs w:val="26"/>
        </w:rPr>
        <w:t xml:space="preserve"> обичайно закупува печатните издания от разпространителя на едро или директно от издателя и има развита мрежа от крайни пунктове за продажба (маси, павилиони).     </w:t>
      </w:r>
    </w:p>
    <w:p w:rsidR="00000000" w:rsidRDefault="003E498D">
      <w:pPr>
        <w:ind w:firstLine="708"/>
        <w:contextualSpacing/>
        <w:jc w:val="both"/>
        <w:rPr>
          <w:rFonts w:ascii="Times New Roman" w:hAnsi="Times New Roman"/>
          <w:sz w:val="26"/>
          <w:szCs w:val="26"/>
        </w:rPr>
      </w:pPr>
    </w:p>
    <w:p w:rsidR="00000000" w:rsidRDefault="003E498D">
      <w:pPr>
        <w:pStyle w:val="Heading3"/>
        <w:contextualSpacing/>
        <w:rPr>
          <w:sz w:val="26"/>
          <w:szCs w:val="26"/>
        </w:rPr>
      </w:pPr>
      <w:r>
        <w:rPr>
          <w:b w:val="0"/>
          <w:sz w:val="26"/>
          <w:szCs w:val="26"/>
        </w:rPr>
        <w:t xml:space="preserve">Географски пазар на разпространение (дистрибуция) на печатните издания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Съгласно о</w:t>
      </w:r>
      <w:r>
        <w:rPr>
          <w:rFonts w:ascii="Times New Roman" w:hAnsi="Times New Roman"/>
          <w:sz w:val="26"/>
          <w:szCs w:val="26"/>
        </w:rPr>
        <w:t>писания в Раздел ІV, т.4.1. на секторния анализ /механизъм на разпространение на печатните издания/, разпространителите на едро може да действат както на регионално/градско ниво (в рамките на един град/област), така и да развиват дейност в повече от един о</w:t>
      </w:r>
      <w:r>
        <w:rPr>
          <w:rFonts w:ascii="Times New Roman" w:hAnsi="Times New Roman"/>
          <w:sz w:val="26"/>
          <w:szCs w:val="26"/>
        </w:rPr>
        <w:t xml:space="preserve">бластен град в страната, т.е. географският обхват на разпространителите на едро се определя от техните транспортни маршрути. Поради факта, че основен разход при разпространението е </w:t>
      </w:r>
      <w:r>
        <w:rPr>
          <w:rFonts w:ascii="Times New Roman" w:hAnsi="Times New Roman"/>
          <w:color w:val="000000"/>
          <w:sz w:val="26"/>
          <w:szCs w:val="26"/>
        </w:rPr>
        <w:t>транспортът,</w:t>
      </w:r>
      <w:r>
        <w:rPr>
          <w:rFonts w:ascii="Times New Roman" w:hAnsi="Times New Roman"/>
          <w:sz w:val="26"/>
          <w:szCs w:val="26"/>
        </w:rPr>
        <w:t xml:space="preserve"> всеки един от разпространителите се стреми да  уплътни товарит</w:t>
      </w:r>
      <w:r>
        <w:rPr>
          <w:rFonts w:ascii="Times New Roman" w:hAnsi="Times New Roman"/>
          <w:sz w:val="26"/>
          <w:szCs w:val="26"/>
        </w:rPr>
        <w:t>е и привлече като клиенти търговците на дребно по целия маршрут. От направения анализ (вж.  Раздел ІV, т. 4.3. на решението) може да се заключи, че за анализирания период най-големите утвърдили се разпространители на едро, които доставят печатни издания до</w:t>
      </w:r>
      <w:r>
        <w:rPr>
          <w:rFonts w:ascii="Times New Roman" w:hAnsi="Times New Roman"/>
          <w:sz w:val="26"/>
          <w:szCs w:val="26"/>
        </w:rPr>
        <w:t xml:space="preserve"> голям брой градове и населени места, не покриват територията на цялата страна. Принципно обаче и въз основа становищата на анкетираните разпространители и издатели може да се приеме, че търговците на едро с много добре развита дистрибуционна мрежа, които </w:t>
      </w:r>
      <w:r>
        <w:rPr>
          <w:rFonts w:ascii="Times New Roman" w:hAnsi="Times New Roman"/>
          <w:sz w:val="26"/>
          <w:szCs w:val="26"/>
        </w:rPr>
        <w:t xml:space="preserve">имат необходимия ресурс (капиталов, човешки, търговски, транспортни средства), позволяващ им да закупуват печатните издания директно от издателите, имат потенциал да разширят обхвата си на разпространение и да ги доставят на територията на цялата страна.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На практика обаче, независимо от липсата на административно-правни бариери, съгласно становището на „Полиграфснаб“ АД, не се наблюдава често навлизане на търговец на едро за даден град или регион в територията на друг, съседен такъв. За организирането и ко</w:t>
      </w:r>
      <w:r>
        <w:rPr>
          <w:rFonts w:ascii="Times New Roman" w:hAnsi="Times New Roman"/>
          <w:sz w:val="26"/>
          <w:szCs w:val="26"/>
        </w:rPr>
        <w:t xml:space="preserve">ординирането на подобен род дейност е необходимо време, инвестиции и човешки ресурс, което изисква сериозна подготовка. Също така бизнес отношенията в даден регион между търговец на едро и дистрибутори на дребно, </w:t>
      </w:r>
      <w:r>
        <w:rPr>
          <w:rFonts w:ascii="Times New Roman" w:hAnsi="Times New Roman"/>
          <w:color w:val="000000"/>
          <w:sz w:val="26"/>
          <w:szCs w:val="26"/>
        </w:rPr>
        <w:t>както и</w:t>
      </w:r>
      <w:r>
        <w:rPr>
          <w:rFonts w:ascii="Times New Roman" w:hAnsi="Times New Roman"/>
          <w:sz w:val="26"/>
          <w:szCs w:val="26"/>
        </w:rPr>
        <w:t xml:space="preserve"> търговците в крайните обекти, много</w:t>
      </w:r>
      <w:r>
        <w:rPr>
          <w:rFonts w:ascii="Times New Roman" w:hAnsi="Times New Roman"/>
          <w:sz w:val="26"/>
          <w:szCs w:val="26"/>
        </w:rPr>
        <w:t xml:space="preserve"> често са трудно разрушими, тъй като нивото на финансова задлъжнялост между тях е твърда висока.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Други разпространители оперират само в определен град и/или област. Според участниците не съществуват ограничения за опериране в различни региони и населени м</w:t>
      </w:r>
      <w:r>
        <w:rPr>
          <w:rFonts w:ascii="Times New Roman" w:hAnsi="Times New Roman"/>
          <w:sz w:val="26"/>
          <w:szCs w:val="26"/>
        </w:rPr>
        <w:t>еста както от страна на търговците на едро, така и на дребно. Пазарът на разпространение е свободен, тъй като няма нормативна, административна или друг вид регулация. Така например дистрибутори от един район може да навлязат в друг район. Има търговци, кои</w:t>
      </w:r>
      <w:r>
        <w:rPr>
          <w:rFonts w:ascii="Times New Roman" w:hAnsi="Times New Roman"/>
          <w:sz w:val="26"/>
          <w:szCs w:val="26"/>
        </w:rPr>
        <w:t>то са развили мрежи за дистрибуция на база на партньорски взаимоотношения с разпространители на дребно в определени градове на страната и успоредно с това се опитват да разширят  своите дистрибуционни канали и в други градове и да привлекат фирми-партньори</w:t>
      </w:r>
      <w:r>
        <w:rPr>
          <w:rFonts w:ascii="Times New Roman" w:hAnsi="Times New Roman"/>
          <w:sz w:val="26"/>
          <w:szCs w:val="26"/>
        </w:rPr>
        <w:t xml:space="preserve"> от тези места. Това ги  поставя в условията на конкуренция с други, вече установени в съответните градове дистрибутори на едро. Като пример за разширяване на разпространителската мрежа се посочва „Агенция Стрела“ ЕООД, която в рамките на анализирания пери</w:t>
      </w:r>
      <w:r>
        <w:rPr>
          <w:rFonts w:ascii="Times New Roman" w:hAnsi="Times New Roman"/>
          <w:sz w:val="26"/>
          <w:szCs w:val="26"/>
        </w:rPr>
        <w:t xml:space="preserve">од навлиза и в гр. Пловдив и открива места за продажба на дребно (в магазини Практикер).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lastRenderedPageBreak/>
        <w:t>С оглед гореизложеното Комисията счита, че дефиницията за географския пазар на разпространение на едро на печатни издания следва да бъде оставена отворена и прецизира</w:t>
      </w:r>
      <w:r>
        <w:rPr>
          <w:rFonts w:ascii="Times New Roman" w:hAnsi="Times New Roman"/>
          <w:sz w:val="26"/>
          <w:szCs w:val="26"/>
        </w:rPr>
        <w:t xml:space="preserve">на в зависимост от конкретния проучван случай и резултати от извършен анализ на структурата на пазара за съответния изследван период от време.  </w:t>
      </w:r>
    </w:p>
    <w:p w:rsidR="00000000" w:rsidRDefault="003E498D">
      <w:pPr>
        <w:ind w:firstLine="708"/>
        <w:contextualSpacing/>
        <w:jc w:val="both"/>
        <w:rPr>
          <w:rFonts w:ascii="Times New Roman" w:hAnsi="Times New Roman"/>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b/>
          <w:sz w:val="26"/>
          <w:szCs w:val="26"/>
        </w:rPr>
        <w:t>Географският обхват</w:t>
      </w:r>
      <w:r>
        <w:rPr>
          <w:rFonts w:ascii="Times New Roman" w:hAnsi="Times New Roman"/>
          <w:sz w:val="26"/>
          <w:szCs w:val="26"/>
        </w:rPr>
        <w:t xml:space="preserve"> на разпространение/дистрибуция на дребно е  </w:t>
      </w:r>
      <w:r>
        <w:rPr>
          <w:rFonts w:ascii="Times New Roman" w:hAnsi="Times New Roman"/>
          <w:i/>
          <w:sz w:val="26"/>
          <w:szCs w:val="26"/>
        </w:rPr>
        <w:t xml:space="preserve">локален </w:t>
      </w:r>
      <w:r>
        <w:rPr>
          <w:rFonts w:ascii="Times New Roman" w:hAnsi="Times New Roman"/>
          <w:sz w:val="26"/>
          <w:szCs w:val="26"/>
        </w:rPr>
        <w:t>в рамките на даден град/община /област</w:t>
      </w:r>
      <w:r>
        <w:rPr>
          <w:rFonts w:ascii="Times New Roman" w:hAnsi="Times New Roman"/>
          <w:sz w:val="26"/>
          <w:szCs w:val="26"/>
        </w:rPr>
        <w:t xml:space="preserve">.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Съгласно получени становища („Санома Блясък България“ АД), дистрибуторите на дребно разполагат с ограничени ресурси и възможността да навлязат на територията на съседен град и/или  регион е минимална.  Има единични случаи търговец на дребно да експлоати</w:t>
      </w:r>
      <w:r>
        <w:rPr>
          <w:rFonts w:ascii="Times New Roman" w:hAnsi="Times New Roman"/>
          <w:sz w:val="26"/>
          <w:szCs w:val="26"/>
        </w:rPr>
        <w:t>ра собствени/наети крайни пунктове за продажба в няколко града. Като причина за това анкетираните предприятия („Новинар Медиа“ ЕАД) изтъкват високите разходи за транспорт, разрешителният режим по обособяване пунктовете за продажба и не на последно място еф</w:t>
      </w:r>
      <w:r>
        <w:rPr>
          <w:rFonts w:ascii="Times New Roman" w:hAnsi="Times New Roman"/>
          <w:sz w:val="26"/>
          <w:szCs w:val="26"/>
        </w:rPr>
        <w:t>ективността на контрола върху обектите правят</w:t>
      </w:r>
      <w:r>
        <w:rPr>
          <w:rFonts w:ascii="Times New Roman" w:hAnsi="Times New Roman"/>
          <w:color w:val="4F81BD"/>
          <w:sz w:val="26"/>
          <w:szCs w:val="26"/>
        </w:rPr>
        <w:t xml:space="preserve"> </w:t>
      </w:r>
      <w:r>
        <w:rPr>
          <w:rFonts w:ascii="Times New Roman" w:hAnsi="Times New Roman"/>
          <w:sz w:val="26"/>
          <w:szCs w:val="26"/>
        </w:rPr>
        <w:t>непопулярна тази практика.</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По отношение на местата /обектите/ за продажба на печатни издания, съгласно получените становища, най-често се наблюдава ситуация, в която не повече от двама-трима търговци ги притежа</w:t>
      </w:r>
      <w:r>
        <w:rPr>
          <w:rFonts w:ascii="Times New Roman" w:hAnsi="Times New Roman"/>
          <w:sz w:val="26"/>
          <w:szCs w:val="26"/>
        </w:rPr>
        <w:t>ват, като има случай това да е само един дистрибутор за даден град или цял регион, но с разпределяне на дейността през няколко фирми с единна собственост и/или контрол.</w:t>
      </w:r>
      <w:r>
        <w:rPr>
          <w:rFonts w:ascii="Times New Roman" w:hAnsi="Times New Roman"/>
          <w:color w:val="4F81BD"/>
          <w:sz w:val="26"/>
          <w:szCs w:val="26"/>
        </w:rPr>
        <w:t xml:space="preserve"> </w:t>
      </w:r>
    </w:p>
    <w:p w:rsidR="00000000" w:rsidRDefault="003E498D">
      <w:pPr>
        <w:pStyle w:val="Heading3"/>
        <w:contextualSpacing/>
        <w:rPr>
          <w:b w:val="0"/>
          <w:sz w:val="26"/>
          <w:szCs w:val="26"/>
        </w:rPr>
      </w:pPr>
    </w:p>
    <w:p w:rsidR="00000000" w:rsidRDefault="003E498D">
      <w:pPr>
        <w:pStyle w:val="Heading3"/>
        <w:contextualSpacing/>
        <w:rPr>
          <w:sz w:val="26"/>
          <w:szCs w:val="26"/>
        </w:rPr>
      </w:pPr>
      <w:r>
        <w:rPr>
          <w:b w:val="0"/>
          <w:sz w:val="26"/>
          <w:szCs w:val="26"/>
        </w:rPr>
        <w:t xml:space="preserve">Разпространение на печатни издания в гр. София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При извършването на секторния анализ </w:t>
      </w:r>
      <w:r>
        <w:rPr>
          <w:rFonts w:ascii="Times New Roman" w:hAnsi="Times New Roman"/>
          <w:sz w:val="26"/>
          <w:szCs w:val="26"/>
        </w:rPr>
        <w:t xml:space="preserve">бяха отправени въпроси до анкетираните участници доколко разпространението на печатните издания в гр. София може да се обособи като самостоятелен пазар.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„Разпространение на печата“ АД, като дружество, опериращо в рамките на столицата, счита, че разпростра</w:t>
      </w:r>
      <w:r>
        <w:rPr>
          <w:rFonts w:ascii="Times New Roman" w:hAnsi="Times New Roman"/>
          <w:sz w:val="26"/>
          <w:szCs w:val="26"/>
        </w:rPr>
        <w:t>нението на вестници и списания на тази територия е значително по-различно спрямо останалата част на страната. Това се обуславя от множеството разлики, които съществуват. Много различен е начинът на спечелване и отдаване на общински места за развиване на по</w:t>
      </w:r>
      <w:r>
        <w:rPr>
          <w:rFonts w:ascii="Times New Roman" w:hAnsi="Times New Roman"/>
          <w:sz w:val="26"/>
          <w:szCs w:val="26"/>
        </w:rPr>
        <w:t>добен вид търговия в гр. София и на другите места. Общинските наеми в столицата са значително по-високи от тези в останалата част на страната. Пазарът в основния град в България е по-платежоспособен и конкуренцията е значително по-голяма. Потенциалните кли</w:t>
      </w:r>
      <w:r>
        <w:rPr>
          <w:rFonts w:ascii="Times New Roman" w:hAnsi="Times New Roman"/>
          <w:sz w:val="26"/>
          <w:szCs w:val="26"/>
        </w:rPr>
        <w:t>енти в столицата са повече на брой и се предлагат много повече и разнообразни издания. В останалите градове от страната не винаги се предлагат всички излизащи продукти, както това се случва в София. Възнаграждението на продавачите в София е значително по-в</w:t>
      </w:r>
      <w:r>
        <w:rPr>
          <w:rFonts w:ascii="Times New Roman" w:hAnsi="Times New Roman"/>
          <w:sz w:val="26"/>
          <w:szCs w:val="26"/>
        </w:rPr>
        <w:t xml:space="preserve">исоко от това на техните колеги в останалите градове. В становището на НБМГХ се посочва, че в гр. София и региона се продават по-големите тиражи на вестниците и печатните издания и моделът на функциониране е различен. Софийските разпространители договарят </w:t>
      </w:r>
      <w:r>
        <w:rPr>
          <w:rFonts w:ascii="Times New Roman" w:hAnsi="Times New Roman"/>
          <w:sz w:val="26"/>
          <w:szCs w:val="26"/>
        </w:rPr>
        <w:t>пряко с издателите, получават вестниците на рампите на печатниците и ги разпространяват със собствен транспорт до своите обекти за продажба на територията на столицата.</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lastRenderedPageBreak/>
        <w:t xml:space="preserve">По данни на статистиката по брой на издавани вестници водеща е област София (столица), </w:t>
      </w:r>
      <w:r>
        <w:rPr>
          <w:rFonts w:ascii="Times New Roman" w:hAnsi="Times New Roman"/>
          <w:sz w:val="26"/>
          <w:szCs w:val="26"/>
        </w:rPr>
        <w:t>като делът им през 2010 г. е 54,0 %, а през 2011 г. - 49,3 % спрямо всички издадени вестници в страната. Съответно относителният дял на тиража на вестниците в столицата през 2010 г. е 88,3 % от общия тираж на вестниците в страната (увеличение с 0,3 процент</w:t>
      </w:r>
      <w:r>
        <w:rPr>
          <w:rFonts w:ascii="Times New Roman" w:hAnsi="Times New Roman"/>
          <w:sz w:val="26"/>
          <w:szCs w:val="26"/>
        </w:rPr>
        <w:t xml:space="preserve">ни пункта спрямо 2009 г.), а през 2011 г. формира 88,7 % (увеличение с 0,4 процентни пункта спрямо 2010 г).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Въпреки открояването на някои специфики в модела на  разпространение на печатни издания в гр. София, в настоящия секторен анализ Комисията не може </w:t>
      </w:r>
      <w:r>
        <w:rPr>
          <w:rFonts w:ascii="Times New Roman" w:hAnsi="Times New Roman"/>
          <w:sz w:val="26"/>
          <w:szCs w:val="26"/>
        </w:rPr>
        <w:t>да направи категоричен извод за обособяването му като отделен пазар предвид и липсата на достатъчно данни и информация (от анкетираните разпространители и от други надеждни източници), които да послужат за такова заключение.</w:t>
      </w:r>
    </w:p>
    <w:p w:rsidR="00000000" w:rsidRDefault="003E498D">
      <w:pPr>
        <w:ind w:firstLine="708"/>
        <w:contextualSpacing/>
        <w:jc w:val="both"/>
        <w:rPr>
          <w:rFonts w:ascii="Times New Roman" w:hAnsi="Times New Roman"/>
          <w:sz w:val="26"/>
          <w:szCs w:val="26"/>
        </w:rPr>
      </w:pPr>
    </w:p>
    <w:p w:rsidR="00000000" w:rsidRDefault="003E498D">
      <w:pPr>
        <w:contextualSpacing/>
        <w:jc w:val="both"/>
        <w:rPr>
          <w:rFonts w:ascii="Times New Roman" w:hAnsi="Times New Roman"/>
          <w:b/>
          <w:sz w:val="26"/>
          <w:szCs w:val="26"/>
        </w:rPr>
      </w:pPr>
      <w:r>
        <w:rPr>
          <w:rFonts w:ascii="Times New Roman" w:hAnsi="Times New Roman"/>
          <w:b/>
          <w:sz w:val="26"/>
          <w:szCs w:val="26"/>
        </w:rPr>
        <w:t>ІV. Анализ на конкурентната ср</w:t>
      </w:r>
      <w:r>
        <w:rPr>
          <w:rFonts w:ascii="Times New Roman" w:hAnsi="Times New Roman"/>
          <w:b/>
          <w:sz w:val="26"/>
          <w:szCs w:val="26"/>
        </w:rPr>
        <w:t>еда на разпространението на печатни издания в страната</w:t>
      </w:r>
    </w:p>
    <w:p w:rsidR="00000000" w:rsidRDefault="003E498D">
      <w:pPr>
        <w:pStyle w:val="Heading2"/>
        <w:spacing w:before="0"/>
        <w:contextualSpacing/>
        <w:rPr>
          <w:rFonts w:ascii="Times New Roman" w:hAnsi="Times New Roman"/>
        </w:rPr>
      </w:pPr>
      <w:r>
        <w:rPr>
          <w:rFonts w:ascii="Times New Roman" w:hAnsi="Times New Roman"/>
          <w:color w:val="auto"/>
        </w:rPr>
        <w:t>4.1. Механизъм на разпространение на печатни издания в страната</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След отпечатването (полиграфическата изработка) на печатното издание в съответната печатница (обичайно националните вестници – в печатниц</w:t>
      </w:r>
      <w:r>
        <w:rPr>
          <w:rFonts w:ascii="Times New Roman" w:hAnsi="Times New Roman"/>
          <w:sz w:val="26"/>
          <w:szCs w:val="26"/>
        </w:rPr>
        <w:t>и в София /основно в ИПК Родина, печатница София/, а регионалните вестници- в София или в други градове на страната) същото се предоставя (разпределя) на разпространители, според направените от тях предварителни заявки за съответния брой на изданието, и се</w:t>
      </w:r>
      <w:r>
        <w:rPr>
          <w:rFonts w:ascii="Times New Roman" w:hAnsi="Times New Roman"/>
          <w:sz w:val="26"/>
          <w:szCs w:val="26"/>
        </w:rPr>
        <w:t xml:space="preserve"> разпространява до крайните пунктове за продажба (павилиони, маси и др.) на крайни клиенти (читатели). </w:t>
      </w:r>
    </w:p>
    <w:p w:rsidR="00000000" w:rsidRDefault="003E498D">
      <w:pPr>
        <w:contextualSpacing/>
        <w:jc w:val="both"/>
        <w:rPr>
          <w:rFonts w:ascii="Times New Roman" w:hAnsi="Times New Roman"/>
          <w:sz w:val="26"/>
          <w:szCs w:val="26"/>
          <w:lang w:val="en-US"/>
        </w:rPr>
      </w:pPr>
      <w:r>
        <w:rPr>
          <w:rFonts w:ascii="Times New Roman" w:hAnsi="Times New Roman"/>
          <w:sz w:val="26"/>
          <w:szCs w:val="26"/>
        </w:rPr>
        <w:tab/>
      </w:r>
      <w:r>
        <w:rPr>
          <w:rFonts w:ascii="Times New Roman" w:hAnsi="Times New Roman"/>
          <w:sz w:val="26"/>
          <w:szCs w:val="26"/>
        </w:rPr>
        <w:t xml:space="preserve"> От събраната в хода на анализа информация може да се направят следните заключения:</w:t>
      </w:r>
    </w:p>
    <w:p w:rsidR="00000000" w:rsidRDefault="003E498D">
      <w:pPr>
        <w:ind w:firstLine="708"/>
        <w:contextualSpacing/>
        <w:jc w:val="both"/>
        <w:rPr>
          <w:rFonts w:ascii="Times New Roman" w:hAnsi="Times New Roman"/>
          <w:sz w:val="26"/>
          <w:szCs w:val="26"/>
        </w:rPr>
      </w:pPr>
      <w:r>
        <w:rPr>
          <w:rFonts w:ascii="Times New Roman" w:hAnsi="Times New Roman"/>
          <w:b/>
          <w:sz w:val="26"/>
          <w:szCs w:val="26"/>
        </w:rPr>
        <w:t xml:space="preserve">Издателите </w:t>
      </w:r>
      <w:r>
        <w:rPr>
          <w:rFonts w:ascii="Times New Roman" w:hAnsi="Times New Roman"/>
          <w:sz w:val="26"/>
          <w:szCs w:val="26"/>
        </w:rPr>
        <w:t>продават произведените от тях вестници и списания по сле</w:t>
      </w:r>
      <w:r>
        <w:rPr>
          <w:rFonts w:ascii="Times New Roman" w:hAnsi="Times New Roman"/>
          <w:sz w:val="26"/>
          <w:szCs w:val="26"/>
        </w:rPr>
        <w:t>дните начини: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rPr>
        <w:tab/>
      </w:r>
      <w:r>
        <w:rPr>
          <w:rFonts w:ascii="Times New Roman" w:hAnsi="Times New Roman"/>
          <w:sz w:val="26"/>
          <w:szCs w:val="26"/>
        </w:rPr>
        <w:t>Само на един търговец/разпространител, който продава на всички останали, като в този случай взаимоотношенията на издателя са само с този разпространител. Същият се явява  „изключителен дистрибутор“ и може да бъде: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1.1.</w:t>
      </w:r>
      <w:r>
        <w:rPr>
          <w:rFonts w:ascii="Times New Roman" w:hAnsi="Times New Roman"/>
          <w:sz w:val="26"/>
          <w:szCs w:val="26"/>
        </w:rPr>
        <w:tab/>
      </w:r>
      <w:r>
        <w:rPr>
          <w:rFonts w:ascii="Times New Roman" w:hAnsi="Times New Roman"/>
          <w:sz w:val="26"/>
          <w:szCs w:val="26"/>
        </w:rPr>
        <w:t>Собственост/от група</w:t>
      </w:r>
      <w:r>
        <w:rPr>
          <w:rFonts w:ascii="Times New Roman" w:hAnsi="Times New Roman"/>
          <w:sz w:val="26"/>
          <w:szCs w:val="26"/>
        </w:rPr>
        <w:t>та на издателя  - Агенция Стрела ЕООД;</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1.2.</w:t>
      </w:r>
      <w:r>
        <w:rPr>
          <w:rFonts w:ascii="Times New Roman" w:hAnsi="Times New Roman"/>
          <w:sz w:val="26"/>
          <w:szCs w:val="26"/>
        </w:rPr>
        <w:tab/>
      </w:r>
      <w:r>
        <w:rPr>
          <w:rFonts w:ascii="Times New Roman" w:hAnsi="Times New Roman"/>
          <w:sz w:val="26"/>
          <w:szCs w:val="26"/>
        </w:rPr>
        <w:t>Специализирано в тази дейност (основен/генерален дистрибутор) – „Национална дистрибуция“ ООД и др.;</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2.</w:t>
      </w:r>
      <w:r>
        <w:rPr>
          <w:rFonts w:ascii="Times New Roman" w:hAnsi="Times New Roman"/>
          <w:sz w:val="26"/>
          <w:szCs w:val="26"/>
        </w:rPr>
        <w:tab/>
      </w:r>
      <w:r>
        <w:rPr>
          <w:rFonts w:ascii="Times New Roman" w:hAnsi="Times New Roman"/>
          <w:sz w:val="26"/>
          <w:szCs w:val="26"/>
        </w:rPr>
        <w:t xml:space="preserve"> На няколко (2-10) големи търговци/разпространители, които продават на всички останали;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3.</w:t>
      </w:r>
      <w:r>
        <w:rPr>
          <w:rFonts w:ascii="Times New Roman" w:hAnsi="Times New Roman"/>
          <w:sz w:val="26"/>
          <w:szCs w:val="26"/>
        </w:rPr>
        <w:tab/>
      </w:r>
      <w:r>
        <w:rPr>
          <w:rFonts w:ascii="Times New Roman" w:hAnsi="Times New Roman"/>
          <w:sz w:val="26"/>
          <w:szCs w:val="26"/>
        </w:rPr>
        <w:t>На всички търговци</w:t>
      </w:r>
      <w:r>
        <w:rPr>
          <w:rFonts w:ascii="Times New Roman" w:hAnsi="Times New Roman"/>
          <w:sz w:val="26"/>
          <w:szCs w:val="26"/>
        </w:rPr>
        <w:t>/разпространители, които желаят да продават изданието, включително и на отделни търговски обекти/крайни пунктове за продажба;</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Произведените печатни издания се предоставят на търговците най-често на мястото на производство (печатницата). Могат да се доставя</w:t>
      </w:r>
      <w:r>
        <w:rPr>
          <w:rFonts w:ascii="Times New Roman" w:hAnsi="Times New Roman"/>
          <w:sz w:val="26"/>
          <w:szCs w:val="26"/>
        </w:rPr>
        <w:t>т и в специализиран склад или в склада на търговеца.  От получените отговори, само МГБХ доставя своите издания в складове на търговци извън мястото на производство чрез своя изключителен дистрибутор „Агенция Стрела“ ЕООД.</w:t>
      </w:r>
    </w:p>
    <w:p w:rsidR="00000000" w:rsidRDefault="003E498D">
      <w:pPr>
        <w:ind w:firstLine="708"/>
        <w:contextualSpacing/>
        <w:jc w:val="both"/>
        <w:rPr>
          <w:rFonts w:ascii="Times New Roman" w:hAnsi="Times New Roman"/>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b/>
          <w:sz w:val="26"/>
          <w:szCs w:val="26"/>
        </w:rPr>
        <w:t>Разпространителите</w:t>
      </w:r>
      <w:r>
        <w:rPr>
          <w:rFonts w:ascii="Times New Roman" w:hAnsi="Times New Roman"/>
          <w:sz w:val="26"/>
          <w:szCs w:val="26"/>
        </w:rPr>
        <w:t xml:space="preserve"> продават получ</w:t>
      </w:r>
      <w:r>
        <w:rPr>
          <w:rFonts w:ascii="Times New Roman" w:hAnsi="Times New Roman"/>
          <w:sz w:val="26"/>
          <w:szCs w:val="26"/>
        </w:rPr>
        <w:t>ените печатни издания по следния начин:</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lastRenderedPageBreak/>
        <w:t>1.</w:t>
      </w:r>
      <w:r>
        <w:rPr>
          <w:rFonts w:ascii="Times New Roman" w:hAnsi="Times New Roman"/>
          <w:sz w:val="26"/>
          <w:szCs w:val="26"/>
        </w:rPr>
        <w:tab/>
      </w:r>
      <w:r>
        <w:rPr>
          <w:rFonts w:ascii="Times New Roman" w:hAnsi="Times New Roman"/>
          <w:sz w:val="26"/>
          <w:szCs w:val="26"/>
        </w:rPr>
        <w:t xml:space="preserve"> Чрез собствени/наети търговски обекти на крайни клиенти/читатели;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2.</w:t>
      </w:r>
      <w:r>
        <w:rPr>
          <w:rFonts w:ascii="Times New Roman" w:hAnsi="Times New Roman"/>
          <w:sz w:val="26"/>
          <w:szCs w:val="26"/>
        </w:rPr>
        <w:tab/>
      </w:r>
      <w:r>
        <w:rPr>
          <w:rFonts w:ascii="Times New Roman" w:hAnsi="Times New Roman"/>
          <w:sz w:val="26"/>
          <w:szCs w:val="26"/>
        </w:rPr>
        <w:t>На други разпространители, като в този случай може да се обособят следните варианти: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2.1.</w:t>
      </w:r>
      <w:r>
        <w:rPr>
          <w:rFonts w:ascii="Times New Roman" w:hAnsi="Times New Roman"/>
          <w:sz w:val="26"/>
          <w:szCs w:val="26"/>
        </w:rPr>
        <w:tab/>
      </w:r>
      <w:r>
        <w:rPr>
          <w:rFonts w:ascii="Times New Roman" w:hAnsi="Times New Roman"/>
          <w:sz w:val="26"/>
          <w:szCs w:val="26"/>
        </w:rPr>
        <w:t>По отношение на изданията: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дружеството-клиент получ</w:t>
      </w:r>
      <w:r>
        <w:rPr>
          <w:rFonts w:ascii="Times New Roman" w:hAnsi="Times New Roman"/>
          <w:sz w:val="26"/>
          <w:szCs w:val="26"/>
        </w:rPr>
        <w:t>ава от доставчика всички печатни издания;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дружеството-клиент получава печатни издания от няколко доставчика. В този случай клиентът</w:t>
      </w:r>
      <w:r>
        <w:rPr>
          <w:rFonts w:ascii="Times New Roman" w:hAnsi="Times New Roman"/>
          <w:color w:val="4F81BD"/>
          <w:sz w:val="26"/>
          <w:szCs w:val="26"/>
        </w:rPr>
        <w:t xml:space="preserve"> </w:t>
      </w:r>
      <w:r>
        <w:rPr>
          <w:rFonts w:ascii="Times New Roman" w:hAnsi="Times New Roman"/>
          <w:sz w:val="26"/>
          <w:szCs w:val="26"/>
        </w:rPr>
        <w:t>може да получава издания директно и от други издатели;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2.2.</w:t>
      </w:r>
      <w:r>
        <w:rPr>
          <w:rFonts w:ascii="Times New Roman" w:hAnsi="Times New Roman"/>
          <w:sz w:val="26"/>
          <w:szCs w:val="26"/>
        </w:rPr>
        <w:tab/>
      </w:r>
      <w:r>
        <w:rPr>
          <w:rFonts w:ascii="Times New Roman" w:hAnsi="Times New Roman"/>
          <w:sz w:val="26"/>
          <w:szCs w:val="26"/>
        </w:rPr>
        <w:t>По отношение на транспорта: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получаване на стоката в склада н</w:t>
      </w:r>
      <w:r>
        <w:rPr>
          <w:rFonts w:ascii="Times New Roman" w:hAnsi="Times New Roman"/>
          <w:sz w:val="26"/>
          <w:szCs w:val="26"/>
        </w:rPr>
        <w:t>а доставчика;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 xml:space="preserve">получаване на стоката в склада на клиента. В този случай доставката може да  бъде и в друго населено място, различно от мястото на отпечатване или от централния склад на доставчика.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На отправения към анкетираните участници въпрос за същес</w:t>
      </w:r>
      <w:r>
        <w:rPr>
          <w:rFonts w:ascii="Times New Roman" w:hAnsi="Times New Roman"/>
          <w:sz w:val="26"/>
          <w:szCs w:val="26"/>
        </w:rPr>
        <w:t>твуващи в сектора форми на сътрудничество между разпространителите на печатни издания бе пояснено, че то е свързано преди всичко с транспорта в дадено направление.  По-малките дистрибутори ползват транспортните схеми на голям разпространител по определен м</w:t>
      </w:r>
      <w:r>
        <w:rPr>
          <w:rFonts w:ascii="Times New Roman" w:hAnsi="Times New Roman"/>
          <w:sz w:val="26"/>
          <w:szCs w:val="26"/>
        </w:rPr>
        <w:t>аршрут, което води до намаляване на основните разходи на първите (пред алтернативен собствен транспорт) и подпомага дейността на втория, както финансово, така и стимулиращо увеличаване на разпространителската му мрежа и обекти за крайна реализация.</w:t>
      </w:r>
    </w:p>
    <w:p w:rsidR="00000000" w:rsidRDefault="003E498D">
      <w:pPr>
        <w:ind w:firstLine="708"/>
        <w:contextualSpacing/>
        <w:jc w:val="both"/>
        <w:rPr>
          <w:rFonts w:ascii="Times New Roman" w:hAnsi="Times New Roman"/>
          <w:sz w:val="26"/>
          <w:szCs w:val="26"/>
          <w:lang w:val="en-US"/>
        </w:rPr>
      </w:pPr>
      <w:r>
        <w:rPr>
          <w:rFonts w:ascii="Times New Roman" w:hAnsi="Times New Roman"/>
          <w:sz w:val="26"/>
          <w:szCs w:val="26"/>
        </w:rPr>
        <w:t>Съгласн</w:t>
      </w:r>
      <w:r>
        <w:rPr>
          <w:rFonts w:ascii="Times New Roman" w:hAnsi="Times New Roman"/>
          <w:sz w:val="26"/>
          <w:szCs w:val="26"/>
        </w:rPr>
        <w:t>о становището на „Полиграфснаб“ АД, съществуват възможности и за друг тип сътрудничество с цел увеличаване на търговската отстъпка за определен дистрибутор на едро, като по-малки фирми за разпространение обединяват необходимите обеми на своите тиражи към д</w:t>
      </w:r>
      <w:r>
        <w:rPr>
          <w:rFonts w:ascii="Times New Roman" w:hAnsi="Times New Roman"/>
          <w:sz w:val="26"/>
          <w:szCs w:val="26"/>
        </w:rPr>
        <w:t>аден издател и формално ги закупуват през дружеството именно на този едрови дистрибутор, осигурявайки по-ниски покупни цени на изданията. Така например „Семир-периодичен печат“ ЕООД, преустановило дейност по разпространение на печатни издания в гр. София в</w:t>
      </w:r>
      <w:r>
        <w:rPr>
          <w:rFonts w:ascii="Times New Roman" w:hAnsi="Times New Roman"/>
          <w:sz w:val="26"/>
          <w:szCs w:val="26"/>
        </w:rPr>
        <w:t xml:space="preserve"> края на 2011 г., поради натрупани загуби, за да не загуби договорите си с издателите през последните 4-5 години обединява тиражите си с други малки фирми. Големият оборот, който отчита, се дължи на обстоятелството, че тиражите са преминавали през дружеств</w:t>
      </w:r>
      <w:r>
        <w:rPr>
          <w:rFonts w:ascii="Times New Roman" w:hAnsi="Times New Roman"/>
          <w:sz w:val="26"/>
          <w:szCs w:val="26"/>
        </w:rPr>
        <w:t>ото без разлика в търговската отстъпка,</w:t>
      </w:r>
      <w:r>
        <w:rPr>
          <w:rFonts w:ascii="Times New Roman" w:hAnsi="Times New Roman"/>
          <w:color w:val="4F81BD"/>
          <w:sz w:val="26"/>
          <w:szCs w:val="26"/>
        </w:rPr>
        <w:t xml:space="preserve"> </w:t>
      </w:r>
      <w:r>
        <w:rPr>
          <w:rFonts w:ascii="Times New Roman" w:hAnsi="Times New Roman"/>
          <w:sz w:val="26"/>
          <w:szCs w:val="26"/>
        </w:rPr>
        <w:t xml:space="preserve">като по този начин не формира печалба от доставен и реализиран тираж.  </w:t>
      </w:r>
    </w:p>
    <w:p w:rsidR="00000000" w:rsidRDefault="003E498D">
      <w:pPr>
        <w:ind w:firstLine="708"/>
        <w:contextualSpacing/>
        <w:jc w:val="both"/>
        <w:rPr>
          <w:rFonts w:ascii="Times New Roman" w:hAnsi="Times New Roman"/>
          <w:sz w:val="26"/>
          <w:szCs w:val="26"/>
          <w:lang w:val="en-US"/>
        </w:rPr>
      </w:pPr>
      <w:r>
        <w:rPr>
          <w:rFonts w:ascii="Times New Roman" w:hAnsi="Times New Roman"/>
          <w:sz w:val="26"/>
          <w:szCs w:val="26"/>
        </w:rPr>
        <w:t>Процесът на разпространение може да бъде илюстриран чрез следната схема:</w:t>
      </w:r>
    </w:p>
    <w:p w:rsidR="00000000" w:rsidRDefault="003E498D">
      <w:pPr>
        <w:ind w:firstLine="708"/>
        <w:contextualSpacing/>
        <w:jc w:val="right"/>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Диаграма № 1</w:t>
      </w:r>
    </w:p>
    <w:p w:rsidR="00000000" w:rsidRDefault="00AF74EA">
      <w:pPr>
        <w:contextualSpacing/>
        <w:jc w:val="center"/>
        <w:rPr>
          <w:rFonts w:ascii="Times New Roman" w:hAnsi="Times New Roman"/>
          <w:sz w:val="26"/>
          <w:szCs w:val="26"/>
        </w:rPr>
      </w:pPr>
      <w:r>
        <w:rPr>
          <w:rFonts w:ascii="Times New Roman" w:hAnsi="Times New Roman"/>
          <w:noProof/>
          <w:sz w:val="26"/>
          <w:szCs w:val="26"/>
          <w:lang w:val="en-US" w:eastAsia="en-US"/>
        </w:rPr>
        <w:lastRenderedPageBreak/>
        <w:drawing>
          <wp:inline distT="0" distB="0" distL="0" distR="0">
            <wp:extent cx="2812415" cy="2061845"/>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12415" cy="2061845"/>
                    </a:xfrm>
                    <a:prstGeom prst="rect">
                      <a:avLst/>
                    </a:prstGeom>
                    <a:noFill/>
                    <a:ln>
                      <a:noFill/>
                    </a:ln>
                  </pic:spPr>
                </pic:pic>
              </a:graphicData>
            </a:graphic>
          </wp:inline>
        </w:drawing>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Дистрибуцията на печатни издания </w:t>
      </w:r>
      <w:r>
        <w:rPr>
          <w:rFonts w:ascii="Times New Roman" w:hAnsi="Times New Roman"/>
          <w:b/>
          <w:sz w:val="26"/>
          <w:szCs w:val="26"/>
        </w:rPr>
        <w:t>на т.нар. нацио</w:t>
      </w:r>
      <w:r>
        <w:rPr>
          <w:rFonts w:ascii="Times New Roman" w:hAnsi="Times New Roman"/>
          <w:b/>
          <w:sz w:val="26"/>
          <w:szCs w:val="26"/>
        </w:rPr>
        <w:t>нално ниво</w:t>
      </w:r>
      <w:r>
        <w:rPr>
          <w:rFonts w:ascii="Times New Roman" w:hAnsi="Times New Roman"/>
          <w:sz w:val="26"/>
          <w:szCs w:val="26"/>
        </w:rPr>
        <w:t xml:space="preserve"> се извършва от няколко големи дистрибуторски фирми, които разпространяват националните издания (всекидневници и друга периодика) от град София до останалите по - големи градове /Пловдив, Бургас, Варна, Русе, Велико Търново, Видин, Враца, Благоев</w:t>
      </w:r>
      <w:r>
        <w:rPr>
          <w:rFonts w:ascii="Times New Roman" w:hAnsi="Times New Roman"/>
          <w:sz w:val="26"/>
          <w:szCs w:val="26"/>
        </w:rPr>
        <w:t>град и др./ по транспортни маршрути, преминаващи през тези градове. Там са организирани разпределителни пунктове, като вестниците се предоставят на местни (регионални) фирми, които транспортират същите до свои крайни павилиони (места за продажба) или предо</w:t>
      </w:r>
      <w:r>
        <w:rPr>
          <w:rFonts w:ascii="Times New Roman" w:hAnsi="Times New Roman"/>
          <w:sz w:val="26"/>
          <w:szCs w:val="26"/>
        </w:rPr>
        <w:t xml:space="preserve">ставят на други по - малки фирми, притежаващи/наемащи места за продажба (крайни пунктове).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Дистрибуцията на печатни издания </w:t>
      </w:r>
      <w:r>
        <w:rPr>
          <w:rFonts w:ascii="Times New Roman" w:hAnsi="Times New Roman"/>
          <w:b/>
          <w:sz w:val="26"/>
          <w:szCs w:val="26"/>
        </w:rPr>
        <w:t>на регионално ниво</w:t>
      </w:r>
      <w:r>
        <w:rPr>
          <w:rFonts w:ascii="Times New Roman" w:hAnsi="Times New Roman"/>
          <w:sz w:val="26"/>
          <w:szCs w:val="26"/>
        </w:rPr>
        <w:t xml:space="preserve"> се извършва от местни (регионални) фирми, които получават националните вестници и печатни издания от националнит</w:t>
      </w:r>
      <w:r>
        <w:rPr>
          <w:rFonts w:ascii="Times New Roman" w:hAnsi="Times New Roman"/>
          <w:sz w:val="26"/>
          <w:szCs w:val="26"/>
        </w:rPr>
        <w:t>е дистрибутори в градовете, през които преминава маршрутът на националния дистрибутор (разпределителните пунктове), и съответно разпространяват вестниците до крайните пунктове за продажба в своя район. Регионалните дистрибутори обичайно нямат собствен тран</w:t>
      </w:r>
      <w:r>
        <w:rPr>
          <w:rFonts w:ascii="Times New Roman" w:hAnsi="Times New Roman"/>
          <w:sz w:val="26"/>
          <w:szCs w:val="26"/>
        </w:rPr>
        <w:t>спорт до град София, където се печатат основните национални ежедневници и други печатни издания, поради което в повечето случаи не са в директни отношения с издателите, а заявяват тиражите си на националния дистрибутор, който ги заявява на издателя. Това п</w:t>
      </w:r>
      <w:r>
        <w:rPr>
          <w:rFonts w:ascii="Times New Roman" w:hAnsi="Times New Roman"/>
          <w:sz w:val="26"/>
          <w:szCs w:val="26"/>
        </w:rPr>
        <w:t>оложение също е условно, тъй като има по-големи регионални фирми, които договарят пряко с издателите и/или имат свой транспорт до София, или възлагат транспорта на национална дистрибуторска фирма. В хода на проучването бе установено, че общият брой региона</w:t>
      </w:r>
      <w:r>
        <w:rPr>
          <w:rFonts w:ascii="Times New Roman" w:hAnsi="Times New Roman"/>
          <w:sz w:val="26"/>
          <w:szCs w:val="26"/>
        </w:rPr>
        <w:t xml:space="preserve">лни дистрибутори е твърде голям (според НБГМХ - средно от 2 - 3 фирми за по - малките градове, до 9 - 10 и повече фирми за по-големите градове, а общият им брой за страната вероятно надхвърля 200 - 250 фирми). Липсва и надеждна статистика за тази цел.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По </w:t>
      </w:r>
      <w:r>
        <w:rPr>
          <w:rFonts w:ascii="Times New Roman" w:hAnsi="Times New Roman"/>
          <w:sz w:val="26"/>
          <w:szCs w:val="26"/>
        </w:rPr>
        <w:t>принцип местните разпространители в отделните градове (особено в отдалечените от София градове) не разполагат с транспорт и нямат собствена организация за доставка на вестниците и списанията от град София до населените места, в които осъществяват дейността</w:t>
      </w:r>
      <w:r>
        <w:rPr>
          <w:rFonts w:ascii="Times New Roman" w:hAnsi="Times New Roman"/>
          <w:sz w:val="26"/>
          <w:szCs w:val="26"/>
        </w:rPr>
        <w:t xml:space="preserve"> си (същите имат организирана само регионална дистрибуторска мрежа).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Националните дистрибутори (дистрибуторите на едро) организират доставката на вестници от издателите (от печатниците в град София) до местните разпространители (в зависимост от транспортн</w:t>
      </w:r>
      <w:r>
        <w:rPr>
          <w:rFonts w:ascii="Times New Roman" w:hAnsi="Times New Roman"/>
          <w:sz w:val="26"/>
          <w:szCs w:val="26"/>
        </w:rPr>
        <w:t xml:space="preserve">ите си маршрути). Ежедневната преса се доставя на територията на печатницата и тези </w:t>
      </w:r>
      <w:r>
        <w:rPr>
          <w:rFonts w:ascii="Times New Roman" w:hAnsi="Times New Roman"/>
          <w:sz w:val="26"/>
          <w:szCs w:val="26"/>
        </w:rPr>
        <w:lastRenderedPageBreak/>
        <w:t xml:space="preserve">разпространители я транспортират нощно време /в периода 24.00-06.00 часа/ до собствените си и/или наети търговски обекти, до абонати и/или до дистрибутори на дребно.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Въз о</w:t>
      </w:r>
      <w:r>
        <w:rPr>
          <w:rFonts w:ascii="Times New Roman" w:hAnsi="Times New Roman"/>
          <w:sz w:val="26"/>
          <w:szCs w:val="26"/>
        </w:rPr>
        <w:t>снова на получената информация</w:t>
      </w:r>
      <w:r>
        <w:rPr>
          <w:rFonts w:ascii="Times New Roman" w:hAnsi="Times New Roman"/>
          <w:color w:val="4F81BD"/>
          <w:sz w:val="26"/>
          <w:szCs w:val="26"/>
        </w:rPr>
        <w:t xml:space="preserve"> </w:t>
      </w:r>
      <w:r>
        <w:rPr>
          <w:rFonts w:ascii="Times New Roman" w:hAnsi="Times New Roman"/>
          <w:sz w:val="26"/>
          <w:szCs w:val="26"/>
        </w:rPr>
        <w:t xml:space="preserve">може да се обобщи, че през анализирания период 2009г. - 2011г. не са настъпили съществени промени в посочения механизъм/модел по разпространение на вестници и списания, като дейността е организирана по този начин още през 90 </w:t>
      </w:r>
      <w:r>
        <w:rPr>
          <w:rFonts w:ascii="Times New Roman" w:hAnsi="Times New Roman"/>
          <w:sz w:val="26"/>
          <w:szCs w:val="26"/>
        </w:rPr>
        <w:t xml:space="preserve">- те години.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Настъпилите промени са свързани с промяна на собствеността/контрола и фирмите на някои от участниците във вертикално интегрирания сектор по печат-издаване-дистрибуция на едро/дребно на вестници и списания, както и с прекратяване дейността на </w:t>
      </w:r>
      <w:r>
        <w:rPr>
          <w:rFonts w:ascii="Times New Roman" w:hAnsi="Times New Roman"/>
          <w:sz w:val="26"/>
          <w:szCs w:val="26"/>
        </w:rPr>
        <w:t xml:space="preserve">някои от издателите/дистрибуторите. </w:t>
      </w:r>
    </w:p>
    <w:p w:rsidR="00000000" w:rsidRDefault="003E498D">
      <w:pPr>
        <w:pStyle w:val="Heading2"/>
        <w:spacing w:before="0"/>
        <w:contextualSpacing/>
        <w:rPr>
          <w:rFonts w:ascii="Times New Roman" w:hAnsi="Times New Roman"/>
        </w:rPr>
      </w:pPr>
      <w:r>
        <w:rPr>
          <w:rFonts w:ascii="Times New Roman" w:hAnsi="Times New Roman"/>
          <w:color w:val="auto"/>
        </w:rPr>
        <w:t xml:space="preserve">4.2. Представяне на анкетираните участници за анализирания период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Представянето на отговорилите анкетирани разпространители се основава на получените в КЗК от тях данни, справки, договори и др. доказателства.</w:t>
      </w:r>
    </w:p>
    <w:p w:rsidR="00000000" w:rsidRDefault="003E498D">
      <w:pPr>
        <w:pStyle w:val="NoSpacing"/>
        <w:contextualSpacing/>
        <w:jc w:val="both"/>
        <w:rPr>
          <w:rFonts w:ascii="Times New Roman" w:hAnsi="Times New Roman"/>
          <w:sz w:val="26"/>
          <w:szCs w:val="26"/>
          <w:u w:val="single"/>
        </w:rPr>
      </w:pPr>
    </w:p>
    <w:p w:rsidR="00000000" w:rsidRDefault="003E498D">
      <w:pPr>
        <w:contextualSpacing/>
        <w:rPr>
          <w:rFonts w:ascii="Times New Roman" w:hAnsi="Times New Roman"/>
          <w:i/>
          <w:sz w:val="26"/>
          <w:szCs w:val="26"/>
        </w:rPr>
      </w:pPr>
    </w:p>
    <w:p w:rsidR="00000000" w:rsidRDefault="003E498D">
      <w:pPr>
        <w:contextualSpacing/>
        <w:rPr>
          <w:rFonts w:ascii="Times New Roman" w:hAnsi="Times New Roman"/>
          <w:i/>
          <w:sz w:val="26"/>
          <w:szCs w:val="26"/>
        </w:rPr>
      </w:pPr>
    </w:p>
    <w:p w:rsidR="00000000" w:rsidRDefault="003E498D">
      <w:pPr>
        <w:contextualSpacing/>
        <w:rPr>
          <w:rFonts w:ascii="Times New Roman" w:hAnsi="Times New Roman"/>
          <w:i/>
          <w:sz w:val="26"/>
          <w:szCs w:val="26"/>
        </w:rPr>
      </w:pPr>
      <w:r>
        <w:rPr>
          <w:rFonts w:ascii="Times New Roman" w:hAnsi="Times New Roman"/>
          <w:i/>
          <w:sz w:val="26"/>
          <w:szCs w:val="26"/>
        </w:rPr>
        <w:t>Класиф</w:t>
      </w:r>
      <w:r>
        <w:rPr>
          <w:rFonts w:ascii="Times New Roman" w:hAnsi="Times New Roman"/>
          <w:i/>
          <w:sz w:val="26"/>
          <w:szCs w:val="26"/>
        </w:rPr>
        <w:t xml:space="preserve">икация на участниците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За целите на анализа Комисията групира участниците на пазара в няколко категории според: канала на дистрибуция (абонамент или продажба) и териториалния обхват на дейността им. Изборът на тези критерии се налага поради специализацията</w:t>
      </w:r>
      <w:r>
        <w:rPr>
          <w:rFonts w:ascii="Times New Roman" w:hAnsi="Times New Roman"/>
          <w:sz w:val="26"/>
          <w:szCs w:val="26"/>
        </w:rPr>
        <w:t xml:space="preserve"> на участниците (абонамент – препродажби – директна продажба) и различията в мащаба на дейността им (в конкретния случай, опериращи в няколко областни градове и в рамките на гр. София и региона).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 този смисъл участниците са разпределени в три основни груп</w:t>
      </w:r>
      <w:r>
        <w:rPr>
          <w:rFonts w:ascii="Times New Roman" w:hAnsi="Times New Roman"/>
          <w:sz w:val="26"/>
          <w:szCs w:val="26"/>
        </w:rPr>
        <w:t>и: дистрибутори-оператори на абонаментни мрежи; дистрибутори, опериращи регионални транспортни маршрути и дистрибутори, опериращи в гр. София.</w:t>
      </w:r>
    </w:p>
    <w:p w:rsidR="00000000" w:rsidRDefault="003E498D">
      <w:pPr>
        <w:pStyle w:val="NoSpacing"/>
        <w:ind w:firstLine="708"/>
        <w:contextualSpacing/>
        <w:jc w:val="both"/>
        <w:rPr>
          <w:rFonts w:ascii="Times New Roman" w:hAnsi="Times New Roman"/>
          <w:sz w:val="26"/>
          <w:szCs w:val="26"/>
        </w:rPr>
      </w:pPr>
    </w:p>
    <w:p w:rsidR="00000000" w:rsidRDefault="003E498D">
      <w:pPr>
        <w:pStyle w:val="Heading3"/>
        <w:contextualSpacing/>
        <w:rPr>
          <w:sz w:val="26"/>
          <w:szCs w:val="26"/>
        </w:rPr>
      </w:pPr>
      <w:bookmarkStart w:id="1" w:name="_Toc340653756"/>
      <w:r>
        <w:rPr>
          <w:sz w:val="26"/>
          <w:szCs w:val="26"/>
          <w:u w:val="none"/>
        </w:rPr>
        <w:t>4.2.1 Оператори на абонаментни мрежи</w:t>
      </w:r>
      <w:bookmarkEnd w:id="1"/>
    </w:p>
    <w:p w:rsidR="00000000" w:rsidRDefault="003E498D">
      <w:pPr>
        <w:pStyle w:val="NoSpacing"/>
        <w:ind w:firstLine="708"/>
        <w:contextualSpacing/>
        <w:jc w:val="both"/>
        <w:rPr>
          <w:rFonts w:ascii="Times New Roman" w:eastAsia="ヒラギノ角ゴ Pro W3" w:hAnsi="Times New Roman"/>
          <w:bCs/>
          <w:sz w:val="26"/>
          <w:szCs w:val="26"/>
        </w:rPr>
      </w:pPr>
      <w:bookmarkStart w:id="2" w:name="_Toc340653757"/>
      <w:r>
        <w:rPr>
          <w:rFonts w:ascii="Times New Roman" w:hAnsi="Times New Roman"/>
          <w:sz w:val="26"/>
          <w:szCs w:val="26"/>
        </w:rPr>
        <w:t>В исторически план „</w:t>
      </w:r>
      <w:r>
        <w:rPr>
          <w:rFonts w:ascii="Times New Roman" w:hAnsi="Times New Roman"/>
          <w:b/>
          <w:sz w:val="26"/>
          <w:szCs w:val="26"/>
        </w:rPr>
        <w:t>Български пощи“ (БП)</w:t>
      </w:r>
      <w:r>
        <w:rPr>
          <w:rFonts w:ascii="Times New Roman" w:hAnsi="Times New Roman"/>
          <w:sz w:val="26"/>
          <w:szCs w:val="26"/>
        </w:rPr>
        <w:t xml:space="preserve"> </w:t>
      </w:r>
      <w:r>
        <w:rPr>
          <w:rFonts w:ascii="Times New Roman" w:eastAsia="ヒラギノ角ゴ Pro W3" w:hAnsi="Times New Roman"/>
          <w:sz w:val="26"/>
          <w:szCs w:val="26"/>
        </w:rPr>
        <w:t xml:space="preserve"> /ЕИК 121396123</w:t>
      </w:r>
      <w:r>
        <w:rPr>
          <w:rFonts w:ascii="Times New Roman" w:eastAsia="ヒラギノ角ゴ Pro W3" w:hAnsi="Times New Roman"/>
          <w:b/>
          <w:sz w:val="26"/>
          <w:szCs w:val="26"/>
        </w:rPr>
        <w:t xml:space="preserve">/ </w:t>
      </w:r>
      <w:r>
        <w:rPr>
          <w:rFonts w:ascii="Times New Roman" w:hAnsi="Times New Roman"/>
          <w:b/>
          <w:sz w:val="26"/>
          <w:szCs w:val="26"/>
        </w:rPr>
        <w:t xml:space="preserve"> </w:t>
      </w:r>
      <w:r>
        <w:rPr>
          <w:rFonts w:ascii="Times New Roman" w:hAnsi="Times New Roman"/>
          <w:sz w:val="26"/>
          <w:szCs w:val="26"/>
        </w:rPr>
        <w:t xml:space="preserve">е правоприемник </w:t>
      </w:r>
      <w:r>
        <w:rPr>
          <w:rFonts w:ascii="Times New Roman" w:hAnsi="Times New Roman"/>
          <w:sz w:val="26"/>
          <w:szCs w:val="26"/>
        </w:rPr>
        <w:t xml:space="preserve">на държавния пощенски оператор, който над 60 години осъществява разпространение на печатни издания и извършва абонамент за тях. Понастоящем </w:t>
      </w:r>
      <w:bookmarkEnd w:id="2"/>
      <w:r>
        <w:rPr>
          <w:rFonts w:ascii="Times New Roman" w:hAnsi="Times New Roman"/>
          <w:sz w:val="26"/>
          <w:szCs w:val="26"/>
        </w:rPr>
        <w:t>дружеството</w:t>
      </w:r>
      <w:r>
        <w:rPr>
          <w:rFonts w:ascii="Times New Roman" w:hAnsi="Times New Roman"/>
          <w:b/>
          <w:sz w:val="26"/>
          <w:szCs w:val="26"/>
        </w:rPr>
        <w:t xml:space="preserve"> </w:t>
      </w:r>
      <w:r>
        <w:rPr>
          <w:rFonts w:ascii="Times New Roman" w:eastAsia="ヒラギノ角ゴ Pro W3" w:hAnsi="Times New Roman"/>
          <w:sz w:val="26"/>
          <w:szCs w:val="26"/>
        </w:rPr>
        <w:t>е под едноличния контрол на Министерство на транспорта, информационните технологии и съобщенията /МТИТС/</w:t>
      </w:r>
      <w:r>
        <w:rPr>
          <w:rFonts w:ascii="Times New Roman" w:eastAsia="ヒラギノ角ゴ Pro W3" w:hAnsi="Times New Roman"/>
          <w:sz w:val="26"/>
          <w:szCs w:val="26"/>
        </w:rPr>
        <w:t xml:space="preserve">. Нито БП, нито МТИТС контролира и/или има участие в предприятия с дейност в издателския сектор, в разпространението на едро и на дребно на печатни издания. </w:t>
      </w:r>
    </w:p>
    <w:p w:rsidR="00000000" w:rsidRDefault="003E498D">
      <w:pPr>
        <w:pStyle w:val="NoSpacing"/>
        <w:ind w:firstLine="708"/>
        <w:contextualSpacing/>
        <w:jc w:val="both"/>
        <w:rPr>
          <w:rFonts w:ascii="Times New Roman" w:eastAsia="ヒラギノ角ゴ Pro W3" w:hAnsi="Times New Roman"/>
          <w:sz w:val="26"/>
          <w:szCs w:val="26"/>
        </w:rPr>
      </w:pPr>
      <w:r>
        <w:rPr>
          <w:rFonts w:ascii="Times New Roman" w:eastAsia="ヒラギノ角ゴ Pro W3" w:hAnsi="Times New Roman"/>
          <w:bCs/>
          <w:sz w:val="26"/>
          <w:szCs w:val="26"/>
        </w:rPr>
        <w:t>БП разпространява и продава /чрез приблизително 200 пункта/ на крайни клиенти</w:t>
      </w:r>
      <w:r>
        <w:rPr>
          <w:rStyle w:val="FootnoteReference"/>
          <w:rFonts w:ascii="Times New Roman" w:eastAsia="ヒラギノ角ゴ Pro W3" w:hAnsi="Times New Roman"/>
          <w:bCs/>
          <w:sz w:val="26"/>
          <w:szCs w:val="26"/>
        </w:rPr>
        <w:footnoteReference w:id="11"/>
      </w:r>
      <w:r>
        <w:rPr>
          <w:rFonts w:ascii="Times New Roman" w:eastAsia="ヒラギノ角ゴ Pro W3" w:hAnsi="Times New Roman"/>
          <w:bCs/>
          <w:sz w:val="26"/>
          <w:szCs w:val="26"/>
        </w:rPr>
        <w:t xml:space="preserve"> </w:t>
      </w:r>
      <w:r>
        <w:rPr>
          <w:rFonts w:ascii="Times New Roman" w:hAnsi="Times New Roman"/>
          <w:bCs/>
          <w:i/>
          <w:sz w:val="26"/>
          <w:szCs w:val="26"/>
        </w:rPr>
        <w:t xml:space="preserve">(читатели) </w:t>
      </w:r>
      <w:r>
        <w:rPr>
          <w:rFonts w:ascii="Times New Roman" w:hAnsi="Times New Roman"/>
          <w:sz w:val="26"/>
          <w:szCs w:val="26"/>
        </w:rPr>
        <w:t>както фи</w:t>
      </w:r>
      <w:r>
        <w:rPr>
          <w:rFonts w:ascii="Times New Roman" w:hAnsi="Times New Roman"/>
          <w:bCs/>
          <w:sz w:val="26"/>
          <w:szCs w:val="26"/>
        </w:rPr>
        <w:t xml:space="preserve">зически, така и юридически лица </w:t>
      </w:r>
      <w:r>
        <w:rPr>
          <w:rFonts w:ascii="Times New Roman" w:eastAsia="ヒラギノ角ゴ Pro W3" w:hAnsi="Times New Roman"/>
          <w:bCs/>
          <w:sz w:val="26"/>
          <w:szCs w:val="26"/>
        </w:rPr>
        <w:t>вестници и списания на територията на цялата страна. Изданията закупува основно от издатели („</w:t>
      </w:r>
      <w:r>
        <w:rPr>
          <w:rFonts w:ascii="Times New Roman" w:hAnsi="Times New Roman"/>
          <w:sz w:val="26"/>
          <w:szCs w:val="26"/>
        </w:rPr>
        <w:t xml:space="preserve">ВГБ“ ЕООД, „Дума-2008“ ЕООД, „Санома Блясък България“ АД, „7 дни спорт“ ЕООД, „Класа България“ ЕАД, „Стандарт Нюз“ АД, „Сега“ АД, </w:t>
      </w:r>
      <w:r>
        <w:rPr>
          <w:rFonts w:ascii="Times New Roman" w:hAnsi="Times New Roman"/>
          <w:sz w:val="26"/>
          <w:szCs w:val="26"/>
        </w:rPr>
        <w:t>„Ню медиа Груп“ АД, „Кроз“ АД и др.</w:t>
      </w:r>
      <w:r>
        <w:rPr>
          <w:rFonts w:ascii="Times New Roman" w:eastAsia="ヒラギノ角ゴ Pro W3" w:hAnsi="Times New Roman"/>
          <w:bCs/>
          <w:sz w:val="26"/>
          <w:szCs w:val="26"/>
        </w:rPr>
        <w:t>) и по-рядко от търговци на едро.</w:t>
      </w:r>
      <w:r>
        <w:rPr>
          <w:rFonts w:ascii="Times New Roman" w:hAnsi="Times New Roman"/>
          <w:sz w:val="26"/>
          <w:szCs w:val="26"/>
        </w:rPr>
        <w:t xml:space="preserve"> Дружеството има добре развита собствена логистична мрежа /вкл. персонал, транспортни </w:t>
      </w:r>
      <w:r>
        <w:rPr>
          <w:rFonts w:ascii="Times New Roman" w:hAnsi="Times New Roman"/>
          <w:sz w:val="26"/>
          <w:szCs w:val="26"/>
        </w:rPr>
        <w:lastRenderedPageBreak/>
        <w:t>средства, крайни пунктове за продажба</w:t>
      </w:r>
      <w:r>
        <w:rPr>
          <w:rFonts w:ascii="Times New Roman" w:hAnsi="Times New Roman"/>
          <w:bCs/>
          <w:sz w:val="26"/>
          <w:szCs w:val="26"/>
        </w:rPr>
        <w:t>/</w:t>
      </w:r>
      <w:r>
        <w:rPr>
          <w:rFonts w:ascii="Times New Roman" w:hAnsi="Times New Roman"/>
          <w:sz w:val="26"/>
          <w:szCs w:val="26"/>
        </w:rPr>
        <w:t xml:space="preserve"> между издатели</w:t>
      </w:r>
      <w:r>
        <w:rPr>
          <w:rFonts w:ascii="Times New Roman" w:hAnsi="Times New Roman"/>
          <w:sz w:val="26"/>
          <w:szCs w:val="26"/>
          <w:vertAlign w:val="superscript"/>
        </w:rPr>
        <w:footnoteReference w:id="12"/>
      </w:r>
      <w:r>
        <w:rPr>
          <w:rFonts w:ascii="Times New Roman" w:hAnsi="Times New Roman"/>
          <w:sz w:val="26"/>
          <w:szCs w:val="26"/>
        </w:rPr>
        <w:t xml:space="preserve"> и краен клиент, както и абонаментна мрежа. </w:t>
      </w:r>
      <w:r>
        <w:rPr>
          <w:rFonts w:ascii="Times New Roman" w:eastAsia="ヒラギノ角ゴ Pro W3" w:hAnsi="Times New Roman"/>
          <w:sz w:val="26"/>
          <w:szCs w:val="26"/>
        </w:rPr>
        <w:t>БП п</w:t>
      </w:r>
      <w:r>
        <w:rPr>
          <w:rFonts w:ascii="Times New Roman" w:eastAsia="ヒラギノ角ゴ Pro W3" w:hAnsi="Times New Roman"/>
          <w:sz w:val="26"/>
          <w:szCs w:val="26"/>
        </w:rPr>
        <w:t xml:space="preserve">родава вестници и списания, като сключва </w:t>
      </w:r>
      <w:r>
        <w:rPr>
          <w:rFonts w:ascii="Times New Roman" w:eastAsia="Times New Roman" w:hAnsi="Times New Roman"/>
          <w:b/>
          <w:i/>
          <w:sz w:val="26"/>
          <w:szCs w:val="26"/>
        </w:rPr>
        <w:t>договори</w:t>
      </w:r>
      <w:r>
        <w:rPr>
          <w:rFonts w:ascii="Times New Roman" w:eastAsia="Times New Roman" w:hAnsi="Times New Roman"/>
          <w:i/>
          <w:sz w:val="26"/>
          <w:szCs w:val="26"/>
        </w:rPr>
        <w:t xml:space="preserve"> за продажба на </w:t>
      </w:r>
      <w:r>
        <w:rPr>
          <w:rFonts w:ascii="Times New Roman" w:eastAsia="Times New Roman" w:hAnsi="Times New Roman"/>
          <w:i/>
          <w:color w:val="000000"/>
          <w:sz w:val="26"/>
          <w:szCs w:val="26"/>
        </w:rPr>
        <w:t>консигнация</w:t>
      </w:r>
      <w:r>
        <w:rPr>
          <w:rFonts w:ascii="Times New Roman" w:eastAsia="Times New Roman" w:hAnsi="Times New Roman"/>
          <w:sz w:val="26"/>
          <w:szCs w:val="26"/>
        </w:rPr>
        <w:t xml:space="preserve"> или </w:t>
      </w:r>
      <w:r>
        <w:rPr>
          <w:rFonts w:ascii="Times New Roman" w:eastAsia="Times New Roman" w:hAnsi="Times New Roman"/>
          <w:i/>
          <w:sz w:val="26"/>
          <w:szCs w:val="26"/>
        </w:rPr>
        <w:t xml:space="preserve">за </w:t>
      </w:r>
      <w:r>
        <w:rPr>
          <w:rFonts w:ascii="Times New Roman" w:eastAsia="Times New Roman" w:hAnsi="Times New Roman"/>
          <w:i/>
          <w:color w:val="000000"/>
          <w:sz w:val="26"/>
          <w:szCs w:val="26"/>
        </w:rPr>
        <w:t>свободна продажба</w:t>
      </w:r>
      <w:r>
        <w:rPr>
          <w:rFonts w:ascii="Times New Roman" w:eastAsia="Times New Roman" w:hAnsi="Times New Roman"/>
          <w:i/>
          <w:sz w:val="26"/>
          <w:szCs w:val="26"/>
        </w:rPr>
        <w:t xml:space="preserve">. </w:t>
      </w:r>
      <w:r>
        <w:rPr>
          <w:rFonts w:ascii="Times New Roman" w:eastAsia="ヒラギノ角ゴ Pro W3" w:hAnsi="Times New Roman"/>
          <w:sz w:val="26"/>
          <w:szCs w:val="26"/>
        </w:rPr>
        <w:t xml:space="preserve">Като свои </w:t>
      </w:r>
      <w:r>
        <w:rPr>
          <w:rFonts w:ascii="Times New Roman" w:eastAsia="ヒラギノ角ゴ Pro W3" w:hAnsi="Times New Roman"/>
          <w:b/>
          <w:sz w:val="26"/>
          <w:szCs w:val="26"/>
        </w:rPr>
        <w:t xml:space="preserve">конкуренти </w:t>
      </w:r>
      <w:r>
        <w:rPr>
          <w:rFonts w:ascii="Times New Roman" w:eastAsia="ヒラギノ角ゴ Pro W3" w:hAnsi="Times New Roman"/>
          <w:sz w:val="26"/>
          <w:szCs w:val="26"/>
        </w:rPr>
        <w:t>БП посочва „Разпространение на печата” АД, „Доби прес” ЕООД, „Национална агенция разпространение” АД, „Семир –периодичен печат” ЕООД</w:t>
      </w:r>
      <w:r>
        <w:rPr>
          <w:rFonts w:ascii="Times New Roman" w:eastAsia="ヒラギノ角ゴ Pro W3" w:hAnsi="Times New Roman"/>
          <w:sz w:val="26"/>
          <w:szCs w:val="26"/>
        </w:rPr>
        <w:t xml:space="preserve">. </w:t>
      </w:r>
    </w:p>
    <w:p w:rsidR="00000000" w:rsidRDefault="003E498D">
      <w:pPr>
        <w:pStyle w:val="NoSpacing"/>
        <w:ind w:firstLine="708"/>
        <w:contextualSpacing/>
        <w:jc w:val="both"/>
        <w:rPr>
          <w:rFonts w:ascii="Times New Roman" w:hAnsi="Times New Roman"/>
          <w:sz w:val="26"/>
          <w:szCs w:val="26"/>
          <w:lang w:val="en-US"/>
        </w:rPr>
      </w:pPr>
      <w:r>
        <w:rPr>
          <w:rFonts w:ascii="Times New Roman" w:eastAsia="ヒラギノ角ゴ Pro W3" w:hAnsi="Times New Roman"/>
          <w:sz w:val="26"/>
          <w:szCs w:val="26"/>
        </w:rPr>
        <w:t>Графиката по-долу илюстрира промяната в приходите от продажби на печатни издания, извършени от дружеството чрез консигнация и свободна продажба. Данните показват, че за анализирания период е налице трайно и значително намаление на приходите, като през 2</w:t>
      </w:r>
      <w:r>
        <w:rPr>
          <w:rFonts w:ascii="Times New Roman" w:eastAsia="ヒラギノ角ゴ Pro W3" w:hAnsi="Times New Roman"/>
          <w:sz w:val="26"/>
          <w:szCs w:val="26"/>
        </w:rPr>
        <w:t>011 г. спадът спрямо 2009 г. е приблизително с 43 %  (чрез консигнация) и с 56% (свободна продажба). (Вж. Приложение № 4</w:t>
      </w:r>
      <w:r>
        <w:rPr>
          <w:rFonts w:ascii="Times New Roman" w:hAnsi="Times New Roman"/>
          <w:kern w:val="16"/>
          <w:sz w:val="26"/>
          <w:szCs w:val="26"/>
          <w:lang w:eastAsia="bg-BG"/>
        </w:rPr>
        <w:t>(….)*</w:t>
      </w:r>
      <w:r>
        <w:rPr>
          <w:rFonts w:ascii="Times New Roman" w:eastAsia="ヒラギノ角ゴ Pro W3" w:hAnsi="Times New Roman"/>
          <w:sz w:val="26"/>
          <w:szCs w:val="26"/>
        </w:rPr>
        <w:t>).</w:t>
      </w:r>
    </w:p>
    <w:p w:rsidR="00000000" w:rsidRDefault="003E498D">
      <w:pPr>
        <w:pStyle w:val="NoSpacing"/>
        <w:contextualSpacing/>
        <w:jc w:val="right"/>
        <w:rPr>
          <w:rFonts w:ascii="Times New Roman" w:hAnsi="Times New Roman"/>
          <w:sz w:val="26"/>
          <w:szCs w:val="26"/>
        </w:rPr>
      </w:pPr>
      <w:r>
        <w:rPr>
          <w:rFonts w:ascii="Times New Roman" w:eastAsia="ヒラギノ角ゴ Pro W3" w:hAnsi="Times New Roman"/>
          <w:sz w:val="26"/>
          <w:szCs w:val="26"/>
        </w:rPr>
        <w:t>Графика № 4</w:t>
      </w:r>
      <w:r>
        <w:rPr>
          <w:rFonts w:ascii="Times New Roman" w:hAnsi="Times New Roman"/>
          <w:kern w:val="16"/>
          <w:sz w:val="26"/>
          <w:szCs w:val="26"/>
          <w:lang w:eastAsia="bg-BG"/>
        </w:rPr>
        <w:t>(….)*</w:t>
      </w:r>
    </w:p>
    <w:p w:rsidR="00000000" w:rsidRDefault="003E498D">
      <w:pPr>
        <w:pStyle w:val="NoSpacing"/>
        <w:contextualSpacing/>
        <w:jc w:val="both"/>
        <w:rPr>
          <w:rFonts w:ascii="Times New Roman" w:hAnsi="Times New Roman"/>
          <w:sz w:val="26"/>
          <w:szCs w:val="26"/>
        </w:rPr>
      </w:pP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Капиталът на </w:t>
      </w:r>
      <w:bookmarkStart w:id="3" w:name="_Toc340653758"/>
      <w:r>
        <w:rPr>
          <w:rFonts w:ascii="Times New Roman" w:hAnsi="Times New Roman"/>
          <w:sz w:val="26"/>
          <w:szCs w:val="26"/>
        </w:rPr>
        <w:t>„</w:t>
      </w:r>
      <w:r>
        <w:rPr>
          <w:rFonts w:ascii="Times New Roman" w:hAnsi="Times New Roman"/>
          <w:b/>
          <w:sz w:val="26"/>
          <w:szCs w:val="26"/>
        </w:rPr>
        <w:t>Доби Прес“ ЕООД</w:t>
      </w:r>
      <w:bookmarkEnd w:id="3"/>
      <w:r>
        <w:rPr>
          <w:rFonts w:ascii="Times New Roman" w:hAnsi="Times New Roman"/>
          <w:b/>
          <w:sz w:val="26"/>
          <w:szCs w:val="26"/>
        </w:rPr>
        <w:t>, София (ДП)</w:t>
      </w:r>
      <w:r>
        <w:rPr>
          <w:rFonts w:ascii="Times New Roman" w:hAnsi="Times New Roman"/>
          <w:sz w:val="26"/>
          <w:szCs w:val="26"/>
        </w:rPr>
        <w:t xml:space="preserve"> </w:t>
      </w:r>
      <w:r>
        <w:rPr>
          <w:rFonts w:ascii="Times New Roman" w:hAnsi="Times New Roman"/>
          <w:b/>
          <w:sz w:val="26"/>
          <w:szCs w:val="26"/>
        </w:rPr>
        <w:t xml:space="preserve">/ЕИК 130949772/ </w:t>
      </w:r>
      <w:r>
        <w:rPr>
          <w:rFonts w:ascii="Times New Roman" w:hAnsi="Times New Roman"/>
          <w:sz w:val="26"/>
          <w:szCs w:val="26"/>
        </w:rPr>
        <w:t>се притежава изцяло от г-жа Добринка  Алексова и дру</w:t>
      </w:r>
      <w:r>
        <w:rPr>
          <w:rFonts w:ascii="Times New Roman" w:hAnsi="Times New Roman"/>
          <w:sz w:val="26"/>
          <w:szCs w:val="26"/>
        </w:rPr>
        <w:t>жеството не е част от икономическа група.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Дейността на ДП е свързана с </w:t>
      </w:r>
      <w:r>
        <w:rPr>
          <w:rFonts w:ascii="Times New Roman" w:hAnsi="Times New Roman"/>
          <w:i/>
          <w:sz w:val="26"/>
          <w:szCs w:val="26"/>
        </w:rPr>
        <w:t>абонамент и доставка</w:t>
      </w:r>
      <w:r>
        <w:rPr>
          <w:rFonts w:ascii="Times New Roman" w:hAnsi="Times New Roman"/>
          <w:sz w:val="26"/>
          <w:szCs w:val="26"/>
        </w:rPr>
        <w:t xml:space="preserve"> на периодични и непериодични издания, която се осъществява на територията на цялата страна.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„Доби Прес“ ЕООД определя дейността си, свързана с предоставянето на або</w:t>
      </w:r>
      <w:r>
        <w:rPr>
          <w:rFonts w:ascii="Times New Roman" w:hAnsi="Times New Roman"/>
          <w:sz w:val="26"/>
          <w:szCs w:val="26"/>
        </w:rPr>
        <w:t xml:space="preserve">намент, като </w:t>
      </w:r>
      <w:r>
        <w:rPr>
          <w:rFonts w:ascii="Times New Roman" w:hAnsi="Times New Roman"/>
          <w:i/>
          <w:sz w:val="26"/>
          <w:szCs w:val="26"/>
        </w:rPr>
        <w:t>търговия на дребно</w:t>
      </w:r>
      <w:r>
        <w:rPr>
          <w:rFonts w:ascii="Times New Roman" w:hAnsi="Times New Roman"/>
          <w:sz w:val="26"/>
          <w:szCs w:val="26"/>
        </w:rPr>
        <w:t>, тъй като предплатените издания се доставят в единични бройки на крайните клиенти.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„Доби Прес“ ЕООД купува изданията на тези издатели, за които има заявен интерес за абонамент от клиентите, и това е единственото условие, кое</w:t>
      </w:r>
      <w:r>
        <w:rPr>
          <w:rFonts w:ascii="Times New Roman" w:hAnsi="Times New Roman"/>
          <w:sz w:val="26"/>
          <w:szCs w:val="26"/>
        </w:rPr>
        <w:t>то определя с кои издатели да сключва договори. След като абонатите са посочили за кои издания се абонират, ДП купува изданията от издателите и осъществява тяхната доставка до всеки отделен абонат, като дружеството не снабдява крайни пунктове за продажба н</w:t>
      </w:r>
      <w:r>
        <w:rPr>
          <w:rFonts w:ascii="Times New Roman" w:hAnsi="Times New Roman"/>
          <w:sz w:val="26"/>
          <w:szCs w:val="26"/>
        </w:rPr>
        <w:t>а дребно (павилиони).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За анализирания период „Доби Прес“ ЕООД разпространява изданията /вестници, списания и др./ на „Медийна група България Холдинг“ ООД (чрез договаряне с „Агенция Стрела“ ЕООД), БНБ, Болкан Медия Груп ЕООД, Български законник ЕООД, БТА, </w:t>
      </w:r>
      <w:r>
        <w:rPr>
          <w:rFonts w:ascii="Times New Roman" w:hAnsi="Times New Roman"/>
          <w:sz w:val="26"/>
          <w:szCs w:val="26"/>
        </w:rPr>
        <w:t>„Кроз“ АД, Даниел СГ ООД, ИК „Дъга“ ООД, Апис ООД, ИК „Труд и право“ ООД, Икономедиа АД, Прес 2000 ЕООД, Санома Блясък България АД, ИК „Сиела“ ООД , Сиби ООД, Стандарт нюз АД, Банкер ООД и много други издатели. Сред разпространяваните издания са вестниците</w:t>
      </w:r>
      <w:r>
        <w:rPr>
          <w:rFonts w:ascii="Times New Roman" w:hAnsi="Times New Roman"/>
          <w:sz w:val="26"/>
          <w:szCs w:val="26"/>
        </w:rPr>
        <w:t xml:space="preserve"> /24 часа, Труд, 168 часа, Седмичен Труд, Монитор, Телеграф, Меридиан мач, Политика и др./ и списанията /Идеален дом, Всичко за жената, Здраве, Хай клуб и др./.</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Цените за абонамента на някои издания са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Като свои </w:t>
      </w:r>
      <w:r>
        <w:rPr>
          <w:rFonts w:ascii="Times New Roman" w:hAnsi="Times New Roman"/>
          <w:b/>
          <w:sz w:val="26"/>
          <w:szCs w:val="26"/>
        </w:rPr>
        <w:t>конкуренти</w:t>
      </w:r>
      <w:r>
        <w:rPr>
          <w:rFonts w:ascii="Times New Roman" w:hAnsi="Times New Roman"/>
          <w:sz w:val="26"/>
          <w:szCs w:val="26"/>
        </w:rPr>
        <w:t xml:space="preserve">, извършващи абонамент на </w:t>
      </w:r>
      <w:r>
        <w:rPr>
          <w:rFonts w:ascii="Times New Roman" w:hAnsi="Times New Roman"/>
          <w:sz w:val="26"/>
          <w:szCs w:val="26"/>
        </w:rPr>
        <w:t>периодични издания, „Доби Прес“ ЕООД посочва: „Български пощи“ ЕАД, „Нар 1“ ЕООД, „Разпространение на печата“ АД, „Семир 1“ ЕООД, „Сенатор“ ООД, „Булгарпрес“ ООД.</w:t>
      </w:r>
    </w:p>
    <w:p w:rsidR="00000000" w:rsidRDefault="003E498D">
      <w:pPr>
        <w:pStyle w:val="NoSpacing"/>
        <w:ind w:firstLine="708"/>
        <w:contextualSpacing/>
        <w:jc w:val="both"/>
        <w:rPr>
          <w:rFonts w:ascii="Times New Roman" w:hAnsi="Times New Roman"/>
          <w:sz w:val="26"/>
          <w:szCs w:val="26"/>
        </w:rPr>
      </w:pPr>
      <w:r>
        <w:rPr>
          <w:rFonts w:ascii="Times New Roman" w:eastAsia="ヒラギノ角ゴ Pro W3" w:hAnsi="Times New Roman"/>
          <w:sz w:val="26"/>
          <w:szCs w:val="26"/>
        </w:rPr>
        <w:t>Графиката по-долу илюстрира промяната в приходите от продажби на печатни издания, извършени о</w:t>
      </w:r>
      <w:r>
        <w:rPr>
          <w:rFonts w:ascii="Times New Roman" w:eastAsia="ヒラギノ角ゴ Pro W3" w:hAnsi="Times New Roman"/>
          <w:sz w:val="26"/>
          <w:szCs w:val="26"/>
        </w:rPr>
        <w:t xml:space="preserve">т дружеството. Данните също показват, че за анализирания период е налице трайно намаление на приходите,  което спрямо </w:t>
      </w:r>
      <w:r>
        <w:rPr>
          <w:rFonts w:ascii="Times New Roman" w:eastAsia="ヒラギノ角ゴ Pro W3" w:hAnsi="Times New Roman"/>
          <w:sz w:val="26"/>
          <w:szCs w:val="26"/>
        </w:rPr>
        <w:lastRenderedPageBreak/>
        <w:t>това на БП не е толкова съществено. През 2011 г. спадът спрямо 2009 г. е приблизително 13 %. (Приложение № 5</w:t>
      </w:r>
      <w:r>
        <w:rPr>
          <w:rFonts w:ascii="Times New Roman" w:hAnsi="Times New Roman"/>
          <w:kern w:val="16"/>
          <w:sz w:val="26"/>
          <w:szCs w:val="26"/>
          <w:lang w:eastAsia="bg-BG"/>
        </w:rPr>
        <w:t>(….)*</w:t>
      </w:r>
      <w:r>
        <w:rPr>
          <w:rFonts w:ascii="Times New Roman" w:eastAsia="ヒラギノ角ゴ Pro W3" w:hAnsi="Times New Roman"/>
          <w:sz w:val="26"/>
          <w:szCs w:val="26"/>
        </w:rPr>
        <w:t xml:space="preserve">) </w:t>
      </w:r>
    </w:p>
    <w:p w:rsidR="00000000" w:rsidRDefault="003E498D">
      <w:pPr>
        <w:pStyle w:val="NoSpacing"/>
        <w:contextualSpacing/>
        <w:jc w:val="right"/>
        <w:rPr>
          <w:rFonts w:ascii="Times New Roman" w:hAnsi="Times New Roman"/>
          <w:kern w:val="16"/>
          <w:sz w:val="26"/>
          <w:szCs w:val="26"/>
          <w:lang w:val="en-US" w:eastAsia="bg-BG"/>
        </w:rPr>
      </w:pPr>
      <w:r>
        <w:rPr>
          <w:rFonts w:ascii="Times New Roman" w:hAnsi="Times New Roman"/>
          <w:sz w:val="26"/>
          <w:szCs w:val="26"/>
        </w:rPr>
        <w:t>Графика № 5</w:t>
      </w:r>
      <w:r>
        <w:rPr>
          <w:rFonts w:ascii="Times New Roman" w:hAnsi="Times New Roman"/>
          <w:kern w:val="16"/>
          <w:sz w:val="26"/>
          <w:szCs w:val="26"/>
          <w:lang w:eastAsia="bg-BG"/>
        </w:rPr>
        <w:t>(….)*</w:t>
      </w:r>
      <w:bookmarkStart w:id="4" w:name="_Toc340653759"/>
    </w:p>
    <w:p w:rsidR="00000000" w:rsidRDefault="003E498D">
      <w:pPr>
        <w:pStyle w:val="NoSpacing"/>
        <w:contextualSpacing/>
        <w:jc w:val="right"/>
        <w:rPr>
          <w:rFonts w:ascii="Times New Roman" w:hAnsi="Times New Roman"/>
          <w:sz w:val="26"/>
          <w:szCs w:val="26"/>
          <w:lang w:val="en-US"/>
        </w:rPr>
      </w:pPr>
    </w:p>
    <w:p w:rsidR="00000000" w:rsidRDefault="003E498D">
      <w:pPr>
        <w:pStyle w:val="Heading3"/>
        <w:contextualSpacing/>
        <w:rPr>
          <w:sz w:val="26"/>
          <w:szCs w:val="26"/>
        </w:rPr>
      </w:pPr>
      <w:r>
        <w:rPr>
          <w:sz w:val="26"/>
          <w:szCs w:val="26"/>
          <w:u w:val="none"/>
        </w:rPr>
        <w:t>4.2.</w:t>
      </w:r>
      <w:r>
        <w:rPr>
          <w:sz w:val="26"/>
          <w:szCs w:val="26"/>
          <w:u w:val="none"/>
        </w:rPr>
        <w:t>2 Разпространители, опериращи регионални транспортни маршрути</w:t>
      </w:r>
      <w:bookmarkEnd w:id="4"/>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Ролята на разпространителите, опериращи чрез собствени транспортни маршрути на регионално ниво, се обуславя от невъзможността на дистрибутори с малко на брой крайни пунктове за продажба да закуп</w:t>
      </w:r>
      <w:r>
        <w:rPr>
          <w:rFonts w:ascii="Times New Roman" w:hAnsi="Times New Roman"/>
          <w:sz w:val="26"/>
          <w:szCs w:val="26"/>
        </w:rPr>
        <w:t>уват големи количества печатни издания директно от издателите и от факта, че географската отдалеченост на някои участници от печатниците не им позволява да осъществяват директен транспорт. Позицията на големите дистрибутори, чиито клиенти са по-малки по об</w:t>
      </w:r>
      <w:r>
        <w:rPr>
          <w:rFonts w:ascii="Times New Roman" w:hAnsi="Times New Roman"/>
          <w:sz w:val="26"/>
          <w:szCs w:val="26"/>
        </w:rPr>
        <w:t>хват разпространители и директни потребители, се утвърждава и от допълнителните печалби чрез реализация на относително високи икономии от мащаба при закупуването на големи количества издания и управлението на собствени транспортни мрежи до клиентите.</w:t>
      </w:r>
    </w:p>
    <w:p w:rsidR="00000000" w:rsidRDefault="003E498D">
      <w:pPr>
        <w:pStyle w:val="NoSpacing"/>
        <w:ind w:firstLine="708"/>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pacing w:val="2"/>
          <w:sz w:val="26"/>
          <w:szCs w:val="26"/>
        </w:rPr>
      </w:pPr>
      <w:bookmarkStart w:id="5" w:name="_Toc340653760"/>
      <w:r>
        <w:rPr>
          <w:rFonts w:ascii="Times New Roman" w:hAnsi="Times New Roman"/>
          <w:b/>
          <w:sz w:val="26"/>
          <w:szCs w:val="26"/>
        </w:rPr>
        <w:t xml:space="preserve"> </w:t>
      </w:r>
      <w:r>
        <w:rPr>
          <w:rFonts w:ascii="Times New Roman" w:hAnsi="Times New Roman"/>
          <w:b/>
          <w:sz w:val="26"/>
          <w:szCs w:val="26"/>
        </w:rPr>
        <w:tab/>
      </w:r>
      <w:r>
        <w:rPr>
          <w:rFonts w:ascii="Times New Roman" w:hAnsi="Times New Roman"/>
          <w:sz w:val="26"/>
          <w:szCs w:val="26"/>
        </w:rPr>
        <w:t>За</w:t>
      </w:r>
      <w:r>
        <w:rPr>
          <w:rFonts w:ascii="Times New Roman" w:hAnsi="Times New Roman"/>
          <w:sz w:val="26"/>
          <w:szCs w:val="26"/>
        </w:rPr>
        <w:t xml:space="preserve"> анализирания период едноличен собственик на</w:t>
      </w:r>
      <w:r>
        <w:rPr>
          <w:rFonts w:ascii="Times New Roman" w:hAnsi="Times New Roman"/>
          <w:b/>
          <w:sz w:val="26"/>
          <w:szCs w:val="26"/>
        </w:rPr>
        <w:t xml:space="preserve"> „Агенция Стрела“ ЕООД</w:t>
      </w:r>
      <w:bookmarkEnd w:id="5"/>
      <w:r>
        <w:rPr>
          <w:rFonts w:ascii="Times New Roman" w:hAnsi="Times New Roman"/>
          <w:b/>
          <w:sz w:val="26"/>
          <w:szCs w:val="26"/>
        </w:rPr>
        <w:t>, София /ЕИК 83192642/</w:t>
      </w:r>
      <w:r>
        <w:rPr>
          <w:rFonts w:ascii="Times New Roman" w:hAnsi="Times New Roman"/>
          <w:sz w:val="26"/>
          <w:szCs w:val="26"/>
        </w:rPr>
        <w:t xml:space="preserve"> е „Медийна група България Холдинг“ ООД /МГБХ/. Групата</w:t>
      </w:r>
      <w:r>
        <w:rPr>
          <w:rFonts w:ascii="Times New Roman" w:hAnsi="Times New Roman"/>
          <w:b/>
          <w:bCs/>
          <w:spacing w:val="9"/>
          <w:sz w:val="26"/>
          <w:szCs w:val="26"/>
        </w:rPr>
        <w:t xml:space="preserve"> </w:t>
      </w:r>
      <w:r>
        <w:rPr>
          <w:rFonts w:ascii="Times New Roman" w:hAnsi="Times New Roman"/>
          <w:sz w:val="26"/>
          <w:szCs w:val="26"/>
          <w:lang w:eastAsia="bg-BG"/>
        </w:rPr>
        <w:t>упражнява контрол върху дружества с разнообразна дейност: издаване, отпечатване, разпространение на едро и на др</w:t>
      </w:r>
      <w:r>
        <w:rPr>
          <w:rFonts w:ascii="Times New Roman" w:hAnsi="Times New Roman"/>
          <w:sz w:val="26"/>
          <w:szCs w:val="26"/>
          <w:lang w:eastAsia="bg-BG"/>
        </w:rPr>
        <w:t xml:space="preserve">ебно на периодичен печат, литература, както и свързаните с това услуги реклама, обяви, </w:t>
      </w:r>
      <w:r>
        <w:rPr>
          <w:rFonts w:ascii="Times New Roman" w:hAnsi="Times New Roman"/>
          <w:spacing w:val="3"/>
          <w:sz w:val="26"/>
          <w:szCs w:val="26"/>
        </w:rPr>
        <w:t xml:space="preserve">комерсиална </w:t>
      </w:r>
      <w:r>
        <w:rPr>
          <w:rFonts w:ascii="Times New Roman" w:hAnsi="Times New Roman"/>
          <w:spacing w:val="-1"/>
          <w:sz w:val="26"/>
          <w:szCs w:val="26"/>
        </w:rPr>
        <w:t xml:space="preserve">електронна обработка на информацията, </w:t>
      </w:r>
      <w:r>
        <w:rPr>
          <w:rFonts w:ascii="Times New Roman" w:hAnsi="Times New Roman"/>
          <w:spacing w:val="3"/>
          <w:sz w:val="26"/>
          <w:szCs w:val="26"/>
        </w:rPr>
        <w:t xml:space="preserve">информационни, програмни услуги, транспорт, спедиция. Дружествата, контролирани директно /косвено от </w:t>
      </w:r>
      <w:r>
        <w:rPr>
          <w:rFonts w:ascii="Times New Roman" w:hAnsi="Times New Roman"/>
          <w:bCs/>
          <w:spacing w:val="9"/>
          <w:sz w:val="26"/>
          <w:szCs w:val="26"/>
        </w:rPr>
        <w:t>МГБХ,</w:t>
      </w:r>
      <w:r>
        <w:rPr>
          <w:rFonts w:ascii="Times New Roman" w:hAnsi="Times New Roman"/>
          <w:spacing w:val="3"/>
          <w:sz w:val="26"/>
          <w:szCs w:val="26"/>
        </w:rPr>
        <w:t xml:space="preserve">  са „</w:t>
      </w:r>
      <w:r>
        <w:rPr>
          <w:rFonts w:ascii="Times New Roman" w:hAnsi="Times New Roman"/>
          <w:bCs/>
          <w:spacing w:val="5"/>
          <w:sz w:val="26"/>
          <w:szCs w:val="26"/>
          <w:lang w:eastAsia="bg-BG"/>
        </w:rPr>
        <w:t>Печатни</w:t>
      </w:r>
      <w:r>
        <w:rPr>
          <w:rFonts w:ascii="Times New Roman" w:hAnsi="Times New Roman"/>
          <w:bCs/>
          <w:spacing w:val="5"/>
          <w:sz w:val="26"/>
          <w:szCs w:val="26"/>
          <w:lang w:eastAsia="bg-BG"/>
        </w:rPr>
        <w:t>ца София</w:t>
      </w:r>
      <w:r>
        <w:rPr>
          <w:rFonts w:ascii="Times New Roman" w:hAnsi="Times New Roman"/>
          <w:sz w:val="26"/>
          <w:szCs w:val="26"/>
          <w:lang w:eastAsia="bg-BG"/>
        </w:rPr>
        <w:t>”</w:t>
      </w:r>
      <w:r>
        <w:rPr>
          <w:rFonts w:ascii="Times New Roman" w:hAnsi="Times New Roman"/>
          <w:bCs/>
          <w:spacing w:val="5"/>
          <w:sz w:val="26"/>
          <w:szCs w:val="26"/>
          <w:lang w:eastAsia="bg-BG"/>
        </w:rPr>
        <w:t xml:space="preserve"> ЕООД, </w:t>
      </w:r>
      <w:r>
        <w:rPr>
          <w:rFonts w:ascii="Times New Roman" w:hAnsi="Times New Roman"/>
          <w:bCs/>
          <w:spacing w:val="3"/>
          <w:sz w:val="26"/>
          <w:szCs w:val="26"/>
        </w:rPr>
        <w:t>„Издателство за списания - Медиа</w:t>
      </w:r>
      <w:r>
        <w:rPr>
          <w:rFonts w:ascii="Times New Roman" w:hAnsi="Times New Roman"/>
          <w:sz w:val="26"/>
          <w:szCs w:val="26"/>
        </w:rPr>
        <w:t>”</w:t>
      </w:r>
      <w:r>
        <w:rPr>
          <w:rFonts w:ascii="Times New Roman" w:hAnsi="Times New Roman"/>
          <w:bCs/>
          <w:spacing w:val="3"/>
          <w:sz w:val="26"/>
          <w:szCs w:val="26"/>
        </w:rPr>
        <w:t xml:space="preserve"> ЕООД, София</w:t>
      </w:r>
      <w:r>
        <w:rPr>
          <w:rFonts w:ascii="Times New Roman" w:hAnsi="Times New Roman"/>
          <w:bCs/>
          <w:spacing w:val="5"/>
          <w:sz w:val="26"/>
          <w:szCs w:val="26"/>
        </w:rPr>
        <w:t xml:space="preserve"> /</w:t>
      </w:r>
      <w:r>
        <w:rPr>
          <w:rFonts w:ascii="Times New Roman" w:hAnsi="Times New Roman"/>
          <w:spacing w:val="-2"/>
          <w:sz w:val="26"/>
          <w:szCs w:val="26"/>
        </w:rPr>
        <w:t>печат/, „</w:t>
      </w:r>
      <w:r>
        <w:rPr>
          <w:rFonts w:ascii="Times New Roman" w:hAnsi="Times New Roman"/>
          <w:bCs/>
          <w:spacing w:val="3"/>
          <w:sz w:val="26"/>
          <w:szCs w:val="26"/>
        </w:rPr>
        <w:t>Агенция Стрела</w:t>
      </w:r>
      <w:r>
        <w:rPr>
          <w:rFonts w:ascii="Times New Roman" w:hAnsi="Times New Roman"/>
          <w:sz w:val="26"/>
          <w:szCs w:val="26"/>
        </w:rPr>
        <w:t>”</w:t>
      </w:r>
      <w:r>
        <w:rPr>
          <w:rFonts w:ascii="Times New Roman" w:hAnsi="Times New Roman"/>
          <w:bCs/>
          <w:spacing w:val="3"/>
          <w:sz w:val="26"/>
          <w:szCs w:val="26"/>
        </w:rPr>
        <w:t xml:space="preserve"> ЕООД, </w:t>
      </w:r>
      <w:r>
        <w:rPr>
          <w:rFonts w:ascii="Times New Roman" w:hAnsi="Times New Roman"/>
          <w:bCs/>
          <w:spacing w:val="5"/>
          <w:sz w:val="26"/>
          <w:szCs w:val="26"/>
        </w:rPr>
        <w:t>София /</w:t>
      </w:r>
      <w:r>
        <w:rPr>
          <w:rFonts w:ascii="Times New Roman" w:hAnsi="Times New Roman"/>
          <w:spacing w:val="-2"/>
          <w:sz w:val="26"/>
          <w:szCs w:val="26"/>
        </w:rPr>
        <w:t xml:space="preserve">разпространение на едро и на дребно на печатни издания в </w:t>
      </w:r>
      <w:r>
        <w:rPr>
          <w:rFonts w:ascii="Times New Roman" w:hAnsi="Times New Roman"/>
          <w:spacing w:val="4"/>
          <w:sz w:val="26"/>
          <w:szCs w:val="26"/>
        </w:rPr>
        <w:t xml:space="preserve">страната/, </w:t>
      </w:r>
      <w:r>
        <w:rPr>
          <w:rFonts w:ascii="Times New Roman" w:hAnsi="Times New Roman"/>
          <w:bCs/>
          <w:spacing w:val="2"/>
          <w:sz w:val="26"/>
          <w:szCs w:val="26"/>
        </w:rPr>
        <w:t>„168 часа</w:t>
      </w:r>
      <w:r>
        <w:rPr>
          <w:rFonts w:ascii="Times New Roman" w:hAnsi="Times New Roman"/>
          <w:sz w:val="26"/>
          <w:szCs w:val="26"/>
        </w:rPr>
        <w:t>”</w:t>
      </w:r>
      <w:r>
        <w:rPr>
          <w:rFonts w:ascii="Times New Roman" w:hAnsi="Times New Roman"/>
          <w:bCs/>
          <w:spacing w:val="2"/>
          <w:sz w:val="26"/>
          <w:szCs w:val="26"/>
        </w:rPr>
        <w:t xml:space="preserve"> ЕООД, </w:t>
      </w:r>
      <w:r>
        <w:rPr>
          <w:rFonts w:ascii="Times New Roman" w:hAnsi="Times New Roman"/>
          <w:bCs/>
          <w:spacing w:val="5"/>
          <w:sz w:val="26"/>
          <w:szCs w:val="26"/>
        </w:rPr>
        <w:t>София /</w:t>
      </w:r>
      <w:r>
        <w:rPr>
          <w:rFonts w:ascii="Times New Roman" w:hAnsi="Times New Roman"/>
          <w:spacing w:val="-2"/>
          <w:sz w:val="26"/>
          <w:szCs w:val="26"/>
        </w:rPr>
        <w:t>издател на вестник, реклама/,</w:t>
      </w:r>
      <w:r>
        <w:rPr>
          <w:rFonts w:ascii="Times New Roman" w:hAnsi="Times New Roman"/>
          <w:spacing w:val="-3"/>
          <w:sz w:val="26"/>
          <w:szCs w:val="26"/>
        </w:rPr>
        <w:t xml:space="preserve"> </w:t>
      </w:r>
      <w:r>
        <w:rPr>
          <w:rFonts w:ascii="Times New Roman" w:hAnsi="Times New Roman"/>
          <w:bCs/>
          <w:spacing w:val="1"/>
          <w:sz w:val="26"/>
          <w:szCs w:val="26"/>
        </w:rPr>
        <w:t>Сант</w:t>
      </w:r>
      <w:r>
        <w:rPr>
          <w:rFonts w:ascii="Times New Roman" w:hAnsi="Times New Roman"/>
          <w:sz w:val="26"/>
          <w:szCs w:val="26"/>
        </w:rPr>
        <w:t>”</w:t>
      </w:r>
      <w:r>
        <w:rPr>
          <w:rFonts w:ascii="Times New Roman" w:hAnsi="Times New Roman"/>
          <w:bCs/>
          <w:spacing w:val="1"/>
          <w:sz w:val="26"/>
          <w:szCs w:val="26"/>
        </w:rPr>
        <w:t xml:space="preserve"> ЕООД, София /</w:t>
      </w:r>
      <w:r>
        <w:rPr>
          <w:rFonts w:ascii="Times New Roman" w:hAnsi="Times New Roman"/>
          <w:spacing w:val="3"/>
          <w:sz w:val="26"/>
          <w:szCs w:val="26"/>
        </w:rPr>
        <w:t>обяви, пласмен</w:t>
      </w:r>
      <w:r>
        <w:rPr>
          <w:rFonts w:ascii="Times New Roman" w:hAnsi="Times New Roman"/>
          <w:spacing w:val="3"/>
          <w:sz w:val="26"/>
          <w:szCs w:val="26"/>
        </w:rPr>
        <w:t xml:space="preserve">т, покупки, комерсиална </w:t>
      </w:r>
      <w:r>
        <w:rPr>
          <w:rFonts w:ascii="Times New Roman" w:hAnsi="Times New Roman"/>
          <w:spacing w:val="-1"/>
          <w:sz w:val="26"/>
          <w:szCs w:val="26"/>
        </w:rPr>
        <w:t xml:space="preserve">електронна обработка на информацията/, </w:t>
      </w:r>
      <w:r>
        <w:rPr>
          <w:rFonts w:ascii="Times New Roman" w:hAnsi="Times New Roman"/>
          <w:bCs/>
          <w:spacing w:val="-2"/>
          <w:sz w:val="26"/>
          <w:szCs w:val="26"/>
        </w:rPr>
        <w:t>„Вестникарска група България</w:t>
      </w:r>
      <w:r>
        <w:rPr>
          <w:rFonts w:ascii="Times New Roman" w:hAnsi="Times New Roman"/>
          <w:sz w:val="26"/>
          <w:szCs w:val="26"/>
        </w:rPr>
        <w:t>”</w:t>
      </w:r>
      <w:r>
        <w:rPr>
          <w:rFonts w:ascii="Times New Roman" w:hAnsi="Times New Roman"/>
          <w:bCs/>
          <w:spacing w:val="-2"/>
          <w:sz w:val="26"/>
          <w:szCs w:val="26"/>
        </w:rPr>
        <w:t xml:space="preserve"> (ВГБ) ООД, София /</w:t>
      </w:r>
      <w:r>
        <w:rPr>
          <w:rFonts w:ascii="Times New Roman" w:hAnsi="Times New Roman"/>
          <w:spacing w:val="-1"/>
          <w:sz w:val="26"/>
          <w:szCs w:val="26"/>
        </w:rPr>
        <w:t xml:space="preserve">транспорт, спедиция/, </w:t>
      </w:r>
      <w:r>
        <w:rPr>
          <w:rFonts w:ascii="Times New Roman" w:hAnsi="Times New Roman"/>
          <w:bCs/>
          <w:spacing w:val="-2"/>
          <w:sz w:val="26"/>
          <w:szCs w:val="26"/>
        </w:rPr>
        <w:t>„Български фермер</w:t>
      </w:r>
      <w:r>
        <w:rPr>
          <w:rFonts w:ascii="Times New Roman" w:hAnsi="Times New Roman"/>
          <w:sz w:val="26"/>
          <w:szCs w:val="26"/>
        </w:rPr>
        <w:t>”</w:t>
      </w:r>
      <w:r>
        <w:rPr>
          <w:rFonts w:ascii="Times New Roman" w:hAnsi="Times New Roman"/>
          <w:bCs/>
          <w:spacing w:val="-2"/>
          <w:sz w:val="26"/>
          <w:szCs w:val="26"/>
        </w:rPr>
        <w:t xml:space="preserve"> ООД, София /</w:t>
      </w:r>
      <w:r>
        <w:rPr>
          <w:rFonts w:ascii="Times New Roman" w:hAnsi="Times New Roman"/>
          <w:spacing w:val="3"/>
          <w:sz w:val="26"/>
          <w:szCs w:val="26"/>
        </w:rPr>
        <w:t xml:space="preserve">издател, реклама/, </w:t>
      </w:r>
      <w:r>
        <w:rPr>
          <w:rFonts w:ascii="Times New Roman" w:hAnsi="Times New Roman"/>
          <w:bCs/>
          <w:spacing w:val="3"/>
          <w:sz w:val="26"/>
          <w:szCs w:val="26"/>
        </w:rPr>
        <w:t>Аудиофон - България</w:t>
      </w:r>
      <w:r>
        <w:rPr>
          <w:rFonts w:ascii="Times New Roman" w:hAnsi="Times New Roman"/>
          <w:sz w:val="26"/>
          <w:szCs w:val="26"/>
        </w:rPr>
        <w:t>”</w:t>
      </w:r>
      <w:r>
        <w:rPr>
          <w:rFonts w:ascii="Times New Roman" w:hAnsi="Times New Roman"/>
          <w:bCs/>
          <w:spacing w:val="3"/>
          <w:sz w:val="26"/>
          <w:szCs w:val="26"/>
        </w:rPr>
        <w:t xml:space="preserve"> ООД, София /</w:t>
      </w:r>
      <w:r>
        <w:rPr>
          <w:rFonts w:ascii="Times New Roman" w:hAnsi="Times New Roman"/>
          <w:spacing w:val="3"/>
          <w:sz w:val="26"/>
          <w:szCs w:val="26"/>
        </w:rPr>
        <w:t>информационни, програмни услуги/,</w:t>
      </w:r>
      <w:r>
        <w:rPr>
          <w:rFonts w:ascii="Times New Roman" w:hAnsi="Times New Roman"/>
          <w:bCs/>
          <w:spacing w:val="3"/>
          <w:sz w:val="26"/>
          <w:szCs w:val="26"/>
        </w:rPr>
        <w:t xml:space="preserve"> „ТРУД-</w:t>
      </w:r>
      <w:r>
        <w:rPr>
          <w:rFonts w:ascii="Times New Roman" w:hAnsi="Times New Roman"/>
          <w:bCs/>
          <w:spacing w:val="3"/>
          <w:sz w:val="26"/>
          <w:szCs w:val="26"/>
        </w:rPr>
        <w:t>издателство</w:t>
      </w:r>
      <w:r>
        <w:rPr>
          <w:rFonts w:ascii="Times New Roman" w:hAnsi="Times New Roman"/>
          <w:sz w:val="26"/>
          <w:szCs w:val="26"/>
        </w:rPr>
        <w:t>”</w:t>
      </w:r>
      <w:r>
        <w:rPr>
          <w:rFonts w:ascii="Times New Roman" w:hAnsi="Times New Roman"/>
          <w:bCs/>
          <w:spacing w:val="3"/>
          <w:sz w:val="26"/>
          <w:szCs w:val="26"/>
        </w:rPr>
        <w:t xml:space="preserve"> ООД, София, </w:t>
      </w:r>
      <w:r>
        <w:rPr>
          <w:rFonts w:ascii="Times New Roman" w:hAnsi="Times New Roman"/>
          <w:bCs/>
          <w:spacing w:val="4"/>
          <w:sz w:val="26"/>
          <w:szCs w:val="26"/>
        </w:rPr>
        <w:t>„Медиа Холдинг</w:t>
      </w:r>
      <w:r>
        <w:rPr>
          <w:rFonts w:ascii="Times New Roman" w:hAnsi="Times New Roman"/>
          <w:sz w:val="26"/>
          <w:szCs w:val="26"/>
        </w:rPr>
        <w:t>”</w:t>
      </w:r>
      <w:r>
        <w:rPr>
          <w:rFonts w:ascii="Times New Roman" w:hAnsi="Times New Roman"/>
          <w:bCs/>
          <w:spacing w:val="4"/>
          <w:sz w:val="26"/>
          <w:szCs w:val="26"/>
        </w:rPr>
        <w:t xml:space="preserve"> АД, София </w:t>
      </w:r>
      <w:r>
        <w:rPr>
          <w:rFonts w:ascii="Times New Roman" w:hAnsi="Times New Roman"/>
          <w:bCs/>
          <w:spacing w:val="5"/>
          <w:sz w:val="26"/>
          <w:szCs w:val="26"/>
        </w:rPr>
        <w:t>/</w:t>
      </w:r>
      <w:r>
        <w:rPr>
          <w:rFonts w:ascii="Times New Roman" w:hAnsi="Times New Roman"/>
          <w:spacing w:val="8"/>
          <w:sz w:val="26"/>
          <w:szCs w:val="26"/>
        </w:rPr>
        <w:t xml:space="preserve">издател на вестници/, </w:t>
      </w:r>
      <w:r>
        <w:rPr>
          <w:rFonts w:ascii="Times New Roman" w:hAnsi="Times New Roman"/>
          <w:bCs/>
          <w:spacing w:val="5"/>
          <w:sz w:val="26"/>
          <w:szCs w:val="26"/>
        </w:rPr>
        <w:t>„Транспорт-сервиз</w:t>
      </w:r>
      <w:r>
        <w:rPr>
          <w:rFonts w:ascii="Times New Roman" w:hAnsi="Times New Roman"/>
          <w:sz w:val="26"/>
          <w:szCs w:val="26"/>
        </w:rPr>
        <w:t>”</w:t>
      </w:r>
      <w:r>
        <w:rPr>
          <w:rFonts w:ascii="Times New Roman" w:hAnsi="Times New Roman"/>
          <w:bCs/>
          <w:spacing w:val="5"/>
          <w:sz w:val="26"/>
          <w:szCs w:val="26"/>
        </w:rPr>
        <w:t xml:space="preserve"> ЕООД, София /</w:t>
      </w:r>
      <w:r>
        <w:rPr>
          <w:rFonts w:ascii="Times New Roman" w:hAnsi="Times New Roman"/>
          <w:spacing w:val="1"/>
          <w:sz w:val="26"/>
          <w:szCs w:val="26"/>
        </w:rPr>
        <w:t>транспорт, спедиция, търговия, услуги/;</w:t>
      </w:r>
      <w:r>
        <w:rPr>
          <w:rFonts w:ascii="Times New Roman" w:hAnsi="Times New Roman"/>
          <w:bCs/>
          <w:spacing w:val="7"/>
          <w:sz w:val="26"/>
          <w:szCs w:val="26"/>
        </w:rPr>
        <w:t xml:space="preserve"> „Аудиофон България</w:t>
      </w:r>
      <w:r>
        <w:rPr>
          <w:rFonts w:ascii="Times New Roman" w:hAnsi="Times New Roman"/>
          <w:sz w:val="26"/>
          <w:szCs w:val="26"/>
        </w:rPr>
        <w:t>”</w:t>
      </w:r>
      <w:r>
        <w:rPr>
          <w:rFonts w:ascii="Times New Roman" w:hAnsi="Times New Roman"/>
          <w:bCs/>
          <w:spacing w:val="7"/>
          <w:sz w:val="26"/>
          <w:szCs w:val="26"/>
        </w:rPr>
        <w:t xml:space="preserve"> ООД, София/</w:t>
      </w:r>
      <w:r>
        <w:rPr>
          <w:rFonts w:ascii="Times New Roman" w:hAnsi="Times New Roman"/>
          <w:sz w:val="26"/>
          <w:szCs w:val="26"/>
        </w:rPr>
        <w:t>организиране на хазартни игри/; „</w:t>
      </w:r>
      <w:r>
        <w:rPr>
          <w:rFonts w:ascii="Times New Roman" w:hAnsi="Times New Roman"/>
          <w:bCs/>
          <w:spacing w:val="6"/>
          <w:sz w:val="26"/>
          <w:szCs w:val="26"/>
        </w:rPr>
        <w:t>Книгоиздателска къща Труд</w:t>
      </w:r>
      <w:r>
        <w:rPr>
          <w:rFonts w:ascii="Times New Roman" w:hAnsi="Times New Roman"/>
          <w:sz w:val="26"/>
          <w:szCs w:val="26"/>
        </w:rPr>
        <w:t>”</w:t>
      </w:r>
      <w:r>
        <w:rPr>
          <w:rFonts w:ascii="Times New Roman" w:hAnsi="Times New Roman"/>
          <w:bCs/>
          <w:spacing w:val="6"/>
          <w:sz w:val="26"/>
          <w:szCs w:val="26"/>
        </w:rPr>
        <w:t xml:space="preserve"> ООД, София /</w:t>
      </w:r>
      <w:r>
        <w:rPr>
          <w:rFonts w:ascii="Times New Roman" w:hAnsi="Times New Roman"/>
          <w:spacing w:val="5"/>
          <w:sz w:val="26"/>
          <w:szCs w:val="26"/>
        </w:rPr>
        <w:t>издател</w:t>
      </w:r>
      <w:r>
        <w:rPr>
          <w:rFonts w:ascii="Times New Roman" w:hAnsi="Times New Roman"/>
          <w:spacing w:val="5"/>
          <w:sz w:val="26"/>
          <w:szCs w:val="26"/>
        </w:rPr>
        <w:t xml:space="preserve"> на </w:t>
      </w:r>
      <w:r>
        <w:rPr>
          <w:rFonts w:ascii="Times New Roman" w:hAnsi="Times New Roman"/>
          <w:spacing w:val="2"/>
          <w:sz w:val="26"/>
          <w:szCs w:val="26"/>
        </w:rPr>
        <w:t>литература/.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За разглеждания период разпространението на изданията на групата е осъществявано чрез отдел „Разпространение“ на ВГБ към търговците на едро, като през 2011 г. този отдел е закрит и „Агенция Стрела“ ЕООД започва да продава изданията в качес</w:t>
      </w:r>
      <w:r>
        <w:rPr>
          <w:rFonts w:ascii="Times New Roman" w:hAnsi="Times New Roman"/>
          <w:sz w:val="26"/>
          <w:szCs w:val="26"/>
        </w:rPr>
        <w:t>твото си на „</w:t>
      </w:r>
      <w:r>
        <w:rPr>
          <w:rFonts w:ascii="Times New Roman" w:hAnsi="Times New Roman"/>
          <w:i/>
          <w:sz w:val="26"/>
          <w:szCs w:val="26"/>
        </w:rPr>
        <w:t>генерален дистрибутор</w:t>
      </w:r>
      <w:r>
        <w:rPr>
          <w:rFonts w:ascii="Times New Roman" w:hAnsi="Times New Roman"/>
          <w:sz w:val="26"/>
          <w:szCs w:val="26"/>
        </w:rPr>
        <w:t xml:space="preserve">“.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Освен изданията на МГБХ „Агенция Стрела“ ЕООД разпространява печатни издания и на други издатели, сред които вестниците: Стандарт, Дума, Новинар, Меридиан Мач, Земя, Сега, Монитор, Телеграф, Тема спорт, КЛАСА, Капитал </w:t>
      </w:r>
      <w:r>
        <w:rPr>
          <w:rFonts w:ascii="Times New Roman" w:hAnsi="Times New Roman"/>
          <w:sz w:val="26"/>
          <w:szCs w:val="26"/>
        </w:rPr>
        <w:t>Daily, Преса</w:t>
      </w:r>
      <w:r>
        <w:rPr>
          <w:rStyle w:val="FootnoteReference"/>
          <w:rFonts w:ascii="Times New Roman" w:hAnsi="Times New Roman"/>
          <w:sz w:val="26"/>
          <w:szCs w:val="26"/>
        </w:rPr>
        <w:footnoteReference w:id="13"/>
      </w:r>
      <w:r>
        <w:rPr>
          <w:rFonts w:ascii="Times New Roman" w:hAnsi="Times New Roman"/>
          <w:sz w:val="26"/>
          <w:szCs w:val="26"/>
        </w:rPr>
        <w:t xml:space="preserve"> и др.</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lastRenderedPageBreak/>
        <w:t xml:space="preserve"> „Агенция Стрела“ ЕООД</w:t>
      </w:r>
      <w:r>
        <w:rPr>
          <w:rFonts w:ascii="Times New Roman" w:hAnsi="Times New Roman"/>
          <w:b/>
          <w:sz w:val="26"/>
          <w:szCs w:val="26"/>
        </w:rPr>
        <w:t xml:space="preserve"> </w:t>
      </w:r>
      <w:r>
        <w:rPr>
          <w:rFonts w:ascii="Times New Roman" w:hAnsi="Times New Roman"/>
          <w:sz w:val="26"/>
          <w:szCs w:val="26"/>
        </w:rPr>
        <w:t xml:space="preserve">е сред водещите разпространители  на периодични печатни издания в страната, като разпространява над 900 български и чуждестранни вестници  и списания (2009 г. – 2010 г.) и над 800 през 2011 г. </w:t>
      </w:r>
    </w:p>
    <w:p w:rsidR="00000000" w:rsidRDefault="003E498D">
      <w:pPr>
        <w:pStyle w:val="NoSpacing"/>
        <w:ind w:firstLine="708"/>
        <w:contextualSpacing/>
        <w:jc w:val="both"/>
        <w:rPr>
          <w:rFonts w:ascii="Times New Roman" w:hAnsi="Times New Roman"/>
          <w:b/>
          <w:sz w:val="26"/>
          <w:szCs w:val="26"/>
        </w:rPr>
      </w:pPr>
      <w:r>
        <w:rPr>
          <w:rFonts w:ascii="Times New Roman" w:hAnsi="Times New Roman"/>
          <w:sz w:val="26"/>
          <w:szCs w:val="26"/>
        </w:rPr>
        <w:t>Съгласно представен</w:t>
      </w:r>
      <w:r>
        <w:rPr>
          <w:rFonts w:ascii="Times New Roman" w:hAnsi="Times New Roman"/>
          <w:sz w:val="26"/>
          <w:szCs w:val="26"/>
        </w:rPr>
        <w:t>а справка</w:t>
      </w:r>
      <w:r>
        <w:rPr>
          <w:rStyle w:val="FootnoteReference"/>
          <w:rFonts w:ascii="Times New Roman" w:hAnsi="Times New Roman"/>
          <w:sz w:val="26"/>
          <w:szCs w:val="26"/>
        </w:rPr>
        <w:footnoteReference w:id="14"/>
      </w:r>
      <w:r>
        <w:rPr>
          <w:rFonts w:ascii="Times New Roman" w:hAnsi="Times New Roman"/>
          <w:sz w:val="26"/>
          <w:szCs w:val="26"/>
        </w:rPr>
        <w:t xml:space="preserve"> за получения тираж на в. Труд и в. 24 часа в периода 01.01.-15.10.2011г. основните дистрибутори на едро, на които „Агенция Стрела” ЕООД продава изданията на групата МГБХ, са:</w:t>
      </w:r>
      <w:r>
        <w:rPr>
          <w:rFonts w:ascii="Times New Roman" w:hAnsi="Times New Roman"/>
          <w:i/>
          <w:sz w:val="26"/>
          <w:szCs w:val="26"/>
        </w:rPr>
        <w:t xml:space="preserve"> </w:t>
      </w:r>
      <w:r>
        <w:rPr>
          <w:rFonts w:ascii="Times New Roman" w:hAnsi="Times New Roman"/>
          <w:sz w:val="26"/>
          <w:szCs w:val="26"/>
        </w:rPr>
        <w:t>„НАР” ЕАД (19,42 %), „Братя Герини-Прес“ ЕООД (14,18 %), „Прес 2000“ Е</w:t>
      </w:r>
      <w:r>
        <w:rPr>
          <w:rFonts w:ascii="Times New Roman" w:hAnsi="Times New Roman"/>
          <w:sz w:val="26"/>
          <w:szCs w:val="26"/>
        </w:rPr>
        <w:t>ООД (11,08 %); „Оларт“ ЕООД (6,29%) ; „Жак Прес“ ООД (5,74 %); София Нюз (3,45 %), „Български пощи“ ЕАД (3,27 %); „Разпространение на печата“ АД (3,11 %),  „Доби прес“ ЕООД (1,16 %) и други разпространители общо (18,95 %). Делът на „Агенция Стрела“ ЕООД от</w:t>
      </w:r>
      <w:r>
        <w:rPr>
          <w:rFonts w:ascii="Times New Roman" w:hAnsi="Times New Roman"/>
          <w:sz w:val="26"/>
          <w:szCs w:val="26"/>
        </w:rPr>
        <w:t xml:space="preserve"> общия тираж на цитираните издания за същия период е 13,35%, които реализира чрез собствените/наети крайни пунктове.</w:t>
      </w:r>
      <w:bookmarkStart w:id="6" w:name="_Toc340653761"/>
    </w:p>
    <w:p w:rsidR="00000000" w:rsidRDefault="003E498D">
      <w:pPr>
        <w:pStyle w:val="NoSpacing"/>
        <w:ind w:firstLine="708"/>
        <w:contextualSpacing/>
        <w:jc w:val="both"/>
        <w:rPr>
          <w:rFonts w:ascii="Times New Roman" w:hAnsi="Times New Roman"/>
          <w:b/>
          <w:sz w:val="26"/>
          <w:szCs w:val="26"/>
        </w:rPr>
      </w:pPr>
      <w:r>
        <w:rPr>
          <w:rFonts w:ascii="Times New Roman" w:hAnsi="Times New Roman"/>
          <w:b/>
          <w:sz w:val="26"/>
          <w:szCs w:val="26"/>
        </w:rPr>
        <w:t>„Булгарпрес“ ООД</w:t>
      </w:r>
      <w:bookmarkEnd w:id="6"/>
      <w:r>
        <w:rPr>
          <w:rFonts w:ascii="Times New Roman" w:hAnsi="Times New Roman"/>
          <w:b/>
          <w:sz w:val="26"/>
          <w:szCs w:val="26"/>
        </w:rPr>
        <w:t xml:space="preserve">, София </w:t>
      </w:r>
      <w:r>
        <w:rPr>
          <w:rFonts w:ascii="Times New Roman" w:hAnsi="Times New Roman"/>
          <w:b/>
          <w:sz w:val="26"/>
          <w:szCs w:val="26"/>
          <w:lang w:eastAsia="bg-BG"/>
        </w:rPr>
        <w:t>/ЕИК 812020456/</w:t>
      </w:r>
      <w:r>
        <w:rPr>
          <w:rFonts w:ascii="Times New Roman" w:hAnsi="Times New Roman"/>
          <w:sz w:val="26"/>
          <w:szCs w:val="26"/>
          <w:lang w:eastAsia="bg-BG"/>
        </w:rPr>
        <w:t xml:space="preserve"> е съвместно предприятие между ННП ЕООД, Велико Търново, </w:t>
      </w:r>
      <w:r>
        <w:rPr>
          <w:rFonts w:ascii="Times New Roman" w:hAnsi="Times New Roman"/>
          <w:sz w:val="26"/>
          <w:szCs w:val="26"/>
        </w:rPr>
        <w:t>Axel Springer AG</w:t>
      </w:r>
      <w:r>
        <w:rPr>
          <w:rFonts w:ascii="Times New Roman" w:hAnsi="Times New Roman"/>
          <w:sz w:val="26"/>
          <w:szCs w:val="26"/>
          <w:lang w:eastAsia="bg-BG"/>
        </w:rPr>
        <w:t xml:space="preserve">, ФРГ </w:t>
      </w:r>
      <w:r>
        <w:rPr>
          <w:rFonts w:ascii="Times New Roman" w:hAnsi="Times New Roman"/>
          <w:spacing w:val="8"/>
          <w:sz w:val="26"/>
          <w:szCs w:val="26"/>
          <w:lang w:eastAsia="bg-BG"/>
        </w:rPr>
        <w:t xml:space="preserve">и </w:t>
      </w:r>
      <w:r>
        <w:rPr>
          <w:rFonts w:ascii="Times New Roman" w:hAnsi="Times New Roman"/>
          <w:sz w:val="26"/>
          <w:szCs w:val="26"/>
        </w:rPr>
        <w:t>Lagardère Services</w:t>
      </w:r>
      <w:r>
        <w:rPr>
          <w:rFonts w:ascii="Times New Roman" w:hAnsi="Times New Roman"/>
          <w:spacing w:val="8"/>
          <w:sz w:val="26"/>
          <w:szCs w:val="26"/>
          <w:lang w:eastAsia="bg-BG"/>
        </w:rPr>
        <w:t xml:space="preserve"> </w:t>
      </w:r>
      <w:r>
        <w:rPr>
          <w:rFonts w:ascii="Times New Roman" w:hAnsi="Times New Roman"/>
          <w:spacing w:val="8"/>
          <w:sz w:val="26"/>
          <w:szCs w:val="26"/>
          <w:lang w:eastAsia="bg-BG"/>
        </w:rPr>
        <w:t>АД, Франция</w:t>
      </w:r>
      <w:r>
        <w:rPr>
          <w:rStyle w:val="FootnoteReference"/>
          <w:rFonts w:ascii="Times New Roman" w:hAnsi="Times New Roman"/>
          <w:spacing w:val="8"/>
          <w:sz w:val="26"/>
          <w:szCs w:val="26"/>
          <w:lang w:eastAsia="bg-BG"/>
        </w:rPr>
        <w:footnoteReference w:id="15"/>
      </w:r>
      <w:r>
        <w:rPr>
          <w:rFonts w:ascii="Times New Roman" w:hAnsi="Times New Roman"/>
          <w:spacing w:val="8"/>
          <w:sz w:val="26"/>
          <w:szCs w:val="26"/>
          <w:lang w:eastAsia="bg-BG"/>
        </w:rPr>
        <w:t>.</w:t>
      </w:r>
    </w:p>
    <w:p w:rsidR="00000000" w:rsidRDefault="003E498D">
      <w:pPr>
        <w:pStyle w:val="NoSpacing"/>
        <w:ind w:firstLine="708"/>
        <w:contextualSpacing/>
        <w:jc w:val="both"/>
        <w:rPr>
          <w:rFonts w:ascii="Times New Roman" w:hAnsi="Times New Roman"/>
          <w:spacing w:val="9"/>
          <w:sz w:val="26"/>
          <w:szCs w:val="26"/>
          <w:lang w:eastAsia="bg-BG"/>
        </w:rPr>
      </w:pPr>
      <w:r>
        <w:rPr>
          <w:rFonts w:ascii="Times New Roman" w:hAnsi="Times New Roman"/>
          <w:spacing w:val="7"/>
          <w:sz w:val="26"/>
          <w:szCs w:val="26"/>
          <w:lang w:eastAsia="bg-BG"/>
        </w:rPr>
        <w:t xml:space="preserve">„Булгарпрес“ ООД е доставчик на печатни издания в големите вериги магазини/супермаркети и </w:t>
      </w:r>
      <w:r>
        <w:rPr>
          <w:rFonts w:ascii="Times New Roman" w:hAnsi="Times New Roman"/>
          <w:spacing w:val="9"/>
          <w:sz w:val="26"/>
          <w:szCs w:val="26"/>
          <w:lang w:eastAsia="bg-BG"/>
        </w:rPr>
        <w:t>бензиностанции, но не и на други дистрибутори на</w:t>
      </w:r>
      <w:r>
        <w:rPr>
          <w:rFonts w:ascii="Times New Roman" w:hAnsi="Times New Roman"/>
          <w:b/>
          <w:spacing w:val="9"/>
          <w:sz w:val="26"/>
          <w:szCs w:val="26"/>
          <w:lang w:eastAsia="bg-BG"/>
        </w:rPr>
        <w:t xml:space="preserve"> </w:t>
      </w:r>
      <w:r>
        <w:rPr>
          <w:rFonts w:ascii="Times New Roman" w:hAnsi="Times New Roman"/>
          <w:spacing w:val="9"/>
          <w:sz w:val="26"/>
          <w:szCs w:val="26"/>
          <w:lang w:eastAsia="bg-BG"/>
        </w:rPr>
        <w:t xml:space="preserve">едро. Дружеството купува както </w:t>
      </w:r>
      <w:r>
        <w:rPr>
          <w:rFonts w:ascii="Times New Roman" w:hAnsi="Times New Roman"/>
          <w:sz w:val="26"/>
          <w:szCs w:val="26"/>
          <w:lang w:eastAsia="bg-BG"/>
        </w:rPr>
        <w:t xml:space="preserve">от издатели, така и от генерални дистрибутори, в </w:t>
      </w:r>
      <w:r>
        <w:rPr>
          <w:rFonts w:ascii="Times New Roman" w:hAnsi="Times New Roman"/>
          <w:spacing w:val="2"/>
          <w:sz w:val="26"/>
          <w:szCs w:val="26"/>
          <w:lang w:eastAsia="bg-BG"/>
        </w:rPr>
        <w:t>зависимост от политикат</w:t>
      </w:r>
      <w:r>
        <w:rPr>
          <w:rFonts w:ascii="Times New Roman" w:hAnsi="Times New Roman"/>
          <w:spacing w:val="2"/>
          <w:sz w:val="26"/>
          <w:szCs w:val="26"/>
          <w:lang w:eastAsia="bg-BG"/>
        </w:rPr>
        <w:t xml:space="preserve">а на съответния издател. </w:t>
      </w:r>
      <w:r>
        <w:rPr>
          <w:rFonts w:ascii="Times New Roman" w:hAnsi="Times New Roman"/>
          <w:spacing w:val="9"/>
          <w:sz w:val="26"/>
          <w:szCs w:val="26"/>
          <w:lang w:eastAsia="bg-BG"/>
        </w:rPr>
        <w:t xml:space="preserve">Практиката е този вид стока да се доставя до отделните </w:t>
      </w:r>
      <w:r>
        <w:rPr>
          <w:rFonts w:ascii="Times New Roman" w:hAnsi="Times New Roman"/>
          <w:spacing w:val="4"/>
          <w:sz w:val="26"/>
          <w:szCs w:val="26"/>
          <w:lang w:eastAsia="bg-BG"/>
        </w:rPr>
        <w:t xml:space="preserve">търговски  обекти, а  не  в  централен склад, които най-често са разположени в </w:t>
      </w:r>
      <w:r>
        <w:rPr>
          <w:rFonts w:ascii="Times New Roman" w:hAnsi="Times New Roman"/>
          <w:spacing w:val="9"/>
          <w:sz w:val="26"/>
          <w:szCs w:val="26"/>
          <w:lang w:eastAsia="bg-BG"/>
        </w:rPr>
        <w:t>големите градове и пътни артерии в цялата страна.</w:t>
      </w:r>
    </w:p>
    <w:p w:rsidR="00000000" w:rsidRDefault="003E498D">
      <w:pPr>
        <w:pStyle w:val="NoSpacing"/>
        <w:ind w:firstLine="708"/>
        <w:contextualSpacing/>
        <w:jc w:val="both"/>
        <w:rPr>
          <w:rFonts w:ascii="Times New Roman" w:hAnsi="Times New Roman"/>
          <w:sz w:val="26"/>
          <w:szCs w:val="26"/>
          <w:lang w:eastAsia="bg-BG"/>
        </w:rPr>
      </w:pPr>
      <w:r>
        <w:rPr>
          <w:rFonts w:ascii="Times New Roman" w:hAnsi="Times New Roman"/>
          <w:spacing w:val="1"/>
          <w:sz w:val="26"/>
          <w:szCs w:val="26"/>
          <w:lang w:eastAsia="bg-BG"/>
        </w:rPr>
        <w:t xml:space="preserve">За осъществяване на дейността си дружеството </w:t>
      </w:r>
      <w:r>
        <w:rPr>
          <w:rFonts w:ascii="Times New Roman" w:hAnsi="Times New Roman"/>
          <w:sz w:val="26"/>
          <w:szCs w:val="26"/>
          <w:lang w:eastAsia="bg-BG"/>
        </w:rPr>
        <w:t>по</w:t>
      </w:r>
      <w:r>
        <w:rPr>
          <w:rFonts w:ascii="Times New Roman" w:hAnsi="Times New Roman"/>
          <w:sz w:val="26"/>
          <w:szCs w:val="26"/>
          <w:lang w:eastAsia="bg-BG"/>
        </w:rPr>
        <w:t xml:space="preserve">лзва услугите на куриерска фирма и не разполага с </w:t>
      </w:r>
      <w:r>
        <w:rPr>
          <w:rFonts w:ascii="Times New Roman" w:hAnsi="Times New Roman"/>
          <w:spacing w:val="2"/>
          <w:sz w:val="26"/>
          <w:szCs w:val="26"/>
          <w:lang w:eastAsia="bg-BG"/>
        </w:rPr>
        <w:t>информация за организация на маршрутите на останалите дистрибутори. Д</w:t>
      </w:r>
      <w:r>
        <w:rPr>
          <w:rFonts w:ascii="Times New Roman" w:hAnsi="Times New Roman"/>
          <w:spacing w:val="4"/>
          <w:sz w:val="26"/>
          <w:szCs w:val="26"/>
          <w:lang w:eastAsia="bg-BG"/>
        </w:rPr>
        <w:t xml:space="preserve">епата на „Булгарпрес“ ООД са в: София, Варна, Бургас, Пловдив и Велико Търново, като едно депо </w:t>
      </w:r>
      <w:r>
        <w:rPr>
          <w:rFonts w:ascii="Times New Roman" w:hAnsi="Times New Roman"/>
          <w:spacing w:val="1"/>
          <w:sz w:val="26"/>
          <w:szCs w:val="26"/>
          <w:lang w:eastAsia="bg-BG"/>
        </w:rPr>
        <w:t>обслужва средно 60 обекта. Дружеството раз</w:t>
      </w:r>
      <w:r>
        <w:rPr>
          <w:rFonts w:ascii="Times New Roman" w:hAnsi="Times New Roman"/>
          <w:spacing w:val="1"/>
          <w:sz w:val="26"/>
          <w:szCs w:val="26"/>
          <w:lang w:eastAsia="bg-BG"/>
        </w:rPr>
        <w:t>полага с</w:t>
      </w:r>
      <w:r>
        <w:rPr>
          <w:rFonts w:ascii="Times New Roman" w:hAnsi="Times New Roman"/>
          <w:spacing w:val="2"/>
          <w:sz w:val="26"/>
          <w:szCs w:val="26"/>
          <w:lang w:eastAsia="bg-BG"/>
        </w:rPr>
        <w:t xml:space="preserve">ъс собствени павилиони за ръчна продажба на печатни издания </w:t>
      </w:r>
      <w:r>
        <w:rPr>
          <w:rFonts w:ascii="Times New Roman" w:hAnsi="Times New Roman"/>
          <w:spacing w:val="1"/>
          <w:sz w:val="26"/>
          <w:szCs w:val="26"/>
          <w:lang w:eastAsia="bg-BG"/>
        </w:rPr>
        <w:t xml:space="preserve">в курортите Златни пясъци, Албена и Св. Св.Константин и Елена, които оперират само </w:t>
      </w:r>
      <w:r>
        <w:rPr>
          <w:rFonts w:ascii="Times New Roman" w:hAnsi="Times New Roman"/>
          <w:spacing w:val="4"/>
          <w:sz w:val="26"/>
          <w:szCs w:val="26"/>
          <w:lang w:eastAsia="bg-BG"/>
        </w:rPr>
        <w:t>през летния туристически сезон /от м. май до м. септември/</w:t>
      </w:r>
      <w:r>
        <w:rPr>
          <w:rStyle w:val="FootnoteReference"/>
          <w:rFonts w:ascii="Times New Roman" w:hAnsi="Times New Roman"/>
          <w:spacing w:val="4"/>
          <w:sz w:val="26"/>
          <w:szCs w:val="26"/>
          <w:lang w:eastAsia="bg-BG"/>
        </w:rPr>
        <w:footnoteReference w:id="16"/>
      </w:r>
      <w:r>
        <w:rPr>
          <w:rFonts w:ascii="Times New Roman" w:hAnsi="Times New Roman"/>
          <w:spacing w:val="4"/>
          <w:sz w:val="26"/>
          <w:szCs w:val="26"/>
          <w:lang w:eastAsia="bg-BG"/>
        </w:rPr>
        <w:t xml:space="preserve">. Всяка година броят на тези обекти е </w:t>
      </w:r>
      <w:r>
        <w:rPr>
          <w:rFonts w:ascii="Times New Roman" w:hAnsi="Times New Roman"/>
          <w:sz w:val="26"/>
          <w:szCs w:val="26"/>
          <w:lang w:eastAsia="bg-BG"/>
        </w:rPr>
        <w:t>различен</w:t>
      </w:r>
      <w:r>
        <w:rPr>
          <w:rFonts w:ascii="Times New Roman" w:hAnsi="Times New Roman"/>
          <w:sz w:val="26"/>
          <w:szCs w:val="26"/>
          <w:lang w:eastAsia="bg-BG"/>
        </w:rPr>
        <w:t xml:space="preserve">, тъй като се сменят собствениците, които отдават терени под наем.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Условията на доставка на различните печатни издания, които дистрибуторът разпространява, са следните::</w:t>
      </w:r>
    </w:p>
    <w:p w:rsidR="00000000" w:rsidRDefault="003E498D">
      <w:pPr>
        <w:contextualSpacing/>
        <w:jc w:val="both"/>
        <w:rPr>
          <w:rFonts w:ascii="Times New Roman" w:hAnsi="Times New Roman"/>
          <w:spacing w:val="2"/>
          <w:sz w:val="26"/>
          <w:szCs w:val="26"/>
        </w:rPr>
      </w:pPr>
      <w:r>
        <w:rPr>
          <w:rFonts w:ascii="Times New Roman" w:hAnsi="Times New Roman"/>
          <w:sz w:val="26"/>
          <w:szCs w:val="26"/>
        </w:rPr>
        <w:t>- по отношение на</w:t>
      </w:r>
      <w:r>
        <w:rPr>
          <w:rFonts w:ascii="Times New Roman" w:hAnsi="Times New Roman"/>
          <w:i/>
          <w:sz w:val="26"/>
          <w:szCs w:val="26"/>
        </w:rPr>
        <w:t xml:space="preserve"> ежедневници и седмичници</w:t>
      </w:r>
      <w:r>
        <w:rPr>
          <w:rFonts w:ascii="Times New Roman" w:hAnsi="Times New Roman"/>
          <w:sz w:val="26"/>
          <w:szCs w:val="26"/>
        </w:rPr>
        <w:t xml:space="preserve">: </w:t>
      </w:r>
      <w:r>
        <w:rPr>
          <w:rFonts w:ascii="Times New Roman" w:hAnsi="Times New Roman"/>
          <w:spacing w:val="4"/>
          <w:sz w:val="26"/>
          <w:szCs w:val="26"/>
        </w:rPr>
        <w:t>за определени вериги и релации тиражът се</w:t>
      </w:r>
      <w:r>
        <w:rPr>
          <w:rFonts w:ascii="Times New Roman" w:hAnsi="Times New Roman"/>
          <w:spacing w:val="4"/>
          <w:sz w:val="26"/>
          <w:szCs w:val="26"/>
        </w:rPr>
        <w:t xml:space="preserve"> тегли от печатниците, директно от </w:t>
      </w:r>
      <w:r>
        <w:rPr>
          <w:rFonts w:ascii="Times New Roman" w:hAnsi="Times New Roman"/>
          <w:spacing w:val="2"/>
          <w:sz w:val="26"/>
          <w:szCs w:val="26"/>
        </w:rPr>
        <w:t xml:space="preserve">издател или негов генерален разпространител, и се разнася до крайна точка, а за </w:t>
      </w:r>
      <w:r>
        <w:rPr>
          <w:rFonts w:ascii="Times New Roman" w:hAnsi="Times New Roman"/>
          <w:sz w:val="26"/>
          <w:szCs w:val="26"/>
        </w:rPr>
        <w:t xml:space="preserve">местата, които „Булгарпрес“ ООД не може да обезпечи логистично, се теглят </w:t>
      </w:r>
      <w:r>
        <w:rPr>
          <w:rFonts w:ascii="Times New Roman" w:hAnsi="Times New Roman"/>
          <w:spacing w:val="2"/>
          <w:sz w:val="26"/>
          <w:szCs w:val="26"/>
        </w:rPr>
        <w:t>от тиражите на дистрибуторски фирми, с които дружеството си партнир</w:t>
      </w:r>
      <w:r>
        <w:rPr>
          <w:rFonts w:ascii="Times New Roman" w:hAnsi="Times New Roman"/>
          <w:spacing w:val="2"/>
          <w:sz w:val="26"/>
          <w:szCs w:val="26"/>
        </w:rPr>
        <w:t xml:space="preserve">а; </w:t>
      </w:r>
    </w:p>
    <w:p w:rsidR="00000000" w:rsidRDefault="003E498D">
      <w:pPr>
        <w:contextualSpacing/>
        <w:jc w:val="both"/>
        <w:rPr>
          <w:rFonts w:ascii="Times New Roman" w:hAnsi="Times New Roman"/>
          <w:sz w:val="26"/>
          <w:szCs w:val="26"/>
        </w:rPr>
      </w:pPr>
      <w:r>
        <w:rPr>
          <w:rFonts w:ascii="Times New Roman" w:hAnsi="Times New Roman"/>
          <w:spacing w:val="5"/>
          <w:sz w:val="26"/>
          <w:szCs w:val="26"/>
        </w:rPr>
        <w:t>-</w:t>
      </w:r>
      <w:r>
        <w:rPr>
          <w:rFonts w:ascii="Times New Roman" w:hAnsi="Times New Roman"/>
          <w:sz w:val="26"/>
          <w:szCs w:val="26"/>
        </w:rPr>
        <w:t xml:space="preserve"> </w:t>
      </w:r>
      <w:r>
        <w:rPr>
          <w:rFonts w:ascii="Times New Roman" w:hAnsi="Times New Roman"/>
          <w:spacing w:val="5"/>
          <w:sz w:val="26"/>
          <w:szCs w:val="26"/>
        </w:rPr>
        <w:t xml:space="preserve">по отношение на </w:t>
      </w:r>
      <w:r>
        <w:rPr>
          <w:rFonts w:ascii="Times New Roman" w:hAnsi="Times New Roman"/>
          <w:i/>
          <w:spacing w:val="5"/>
          <w:sz w:val="26"/>
          <w:szCs w:val="26"/>
        </w:rPr>
        <w:t>месечни издания</w:t>
      </w:r>
      <w:r>
        <w:rPr>
          <w:rFonts w:ascii="Times New Roman" w:hAnsi="Times New Roman"/>
          <w:spacing w:val="5"/>
          <w:sz w:val="26"/>
          <w:szCs w:val="26"/>
        </w:rPr>
        <w:t xml:space="preserve">: тиражът се тегли от печатниците, директно от издател или </w:t>
      </w:r>
      <w:r>
        <w:rPr>
          <w:rFonts w:ascii="Times New Roman" w:hAnsi="Times New Roman"/>
          <w:spacing w:val="2"/>
          <w:sz w:val="26"/>
          <w:szCs w:val="26"/>
        </w:rPr>
        <w:t>негов генерален разпространител, и се разнася до крайна точка.</w:t>
      </w:r>
    </w:p>
    <w:p w:rsidR="00000000" w:rsidRDefault="003E498D">
      <w:pPr>
        <w:pStyle w:val="NoSpacing"/>
        <w:contextualSpacing/>
        <w:jc w:val="both"/>
        <w:rPr>
          <w:rFonts w:ascii="Times New Roman" w:hAnsi="Times New Roman"/>
          <w:spacing w:val="1"/>
          <w:sz w:val="26"/>
          <w:szCs w:val="26"/>
          <w:lang w:eastAsia="bg-BG"/>
        </w:rPr>
      </w:pPr>
      <w:r>
        <w:rPr>
          <w:rFonts w:ascii="Times New Roman" w:hAnsi="Times New Roman"/>
          <w:sz w:val="26"/>
          <w:szCs w:val="26"/>
        </w:rPr>
        <w:lastRenderedPageBreak/>
        <w:tab/>
      </w:r>
      <w:r>
        <w:rPr>
          <w:rFonts w:ascii="Times New Roman" w:hAnsi="Times New Roman"/>
          <w:sz w:val="26"/>
          <w:szCs w:val="26"/>
        </w:rPr>
        <w:t>Таблица № 9 съдържа данни за доставения и реализиран от дружеството тираж на национални вестници</w:t>
      </w:r>
      <w:r>
        <w:rPr>
          <w:rFonts w:ascii="Times New Roman" w:hAnsi="Times New Roman"/>
          <w:sz w:val="26"/>
          <w:szCs w:val="26"/>
        </w:rPr>
        <w:t xml:space="preserve"> общо и поотделно за ежедневниците и седмичниците.</w:t>
      </w:r>
    </w:p>
    <w:p w:rsidR="00000000" w:rsidRDefault="003E498D">
      <w:pPr>
        <w:pStyle w:val="NoSpacing"/>
        <w:ind w:left="6372" w:firstLine="708"/>
        <w:contextualSpacing/>
        <w:jc w:val="right"/>
        <w:rPr>
          <w:rFonts w:ascii="Times New Roman" w:hAnsi="Times New Roman"/>
          <w:kern w:val="16"/>
          <w:sz w:val="26"/>
          <w:szCs w:val="26"/>
          <w:lang w:eastAsia="bg-BG"/>
        </w:rPr>
      </w:pPr>
      <w:r>
        <w:rPr>
          <w:rFonts w:ascii="Times New Roman" w:hAnsi="Times New Roman"/>
          <w:spacing w:val="1"/>
          <w:sz w:val="26"/>
          <w:szCs w:val="26"/>
          <w:lang w:eastAsia="bg-BG"/>
        </w:rPr>
        <w:t>Таблица № 9</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134"/>
        <w:gridCol w:w="1289"/>
        <w:gridCol w:w="1292"/>
        <w:gridCol w:w="1386"/>
        <w:gridCol w:w="1275"/>
        <w:gridCol w:w="1562"/>
      </w:tblGrid>
      <w:tr w:rsidR="00000000">
        <w:tc>
          <w:tcPr>
            <w:tcW w:w="1844" w:type="dxa"/>
            <w:vMerge w:val="restart"/>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Година</w:t>
            </w:r>
          </w:p>
        </w:tc>
        <w:tc>
          <w:tcPr>
            <w:tcW w:w="7938" w:type="dxa"/>
            <w:gridSpan w:val="6"/>
          </w:tcPr>
          <w:p w:rsidR="00000000" w:rsidRDefault="003E498D">
            <w:pPr>
              <w:pStyle w:val="NoSpacing"/>
              <w:contextualSpacing/>
              <w:jc w:val="center"/>
              <w:rPr>
                <w:rFonts w:ascii="Times New Roman" w:hAnsi="Times New Roman"/>
                <w:spacing w:val="1"/>
              </w:rPr>
            </w:pPr>
            <w:r>
              <w:rPr>
                <w:rFonts w:ascii="Times New Roman" w:hAnsi="Times New Roman"/>
                <w:spacing w:val="1"/>
              </w:rPr>
              <w:t>Национални вестници- тираж /бр./</w:t>
            </w:r>
          </w:p>
        </w:tc>
      </w:tr>
      <w:tr w:rsidR="00000000">
        <w:tc>
          <w:tcPr>
            <w:tcW w:w="1844" w:type="dxa"/>
            <w:vMerge/>
          </w:tcPr>
          <w:p w:rsidR="00000000" w:rsidRDefault="003E498D">
            <w:pPr>
              <w:pStyle w:val="NoSpacing"/>
              <w:contextualSpacing/>
              <w:jc w:val="both"/>
              <w:rPr>
                <w:rFonts w:ascii="Times New Roman" w:hAnsi="Times New Roman"/>
                <w:spacing w:val="1"/>
              </w:rPr>
            </w:pPr>
          </w:p>
        </w:tc>
        <w:tc>
          <w:tcPr>
            <w:tcW w:w="2423" w:type="dxa"/>
            <w:gridSpan w:val="2"/>
          </w:tcPr>
          <w:p w:rsidR="00000000" w:rsidRDefault="003E498D">
            <w:pPr>
              <w:pStyle w:val="NoSpacing"/>
              <w:contextualSpacing/>
              <w:jc w:val="center"/>
              <w:rPr>
                <w:rFonts w:ascii="Times New Roman" w:hAnsi="Times New Roman"/>
                <w:spacing w:val="1"/>
              </w:rPr>
            </w:pPr>
            <w:r>
              <w:rPr>
                <w:rFonts w:ascii="Times New Roman" w:hAnsi="Times New Roman"/>
                <w:spacing w:val="1"/>
              </w:rPr>
              <w:t>общо</w:t>
            </w:r>
          </w:p>
        </w:tc>
        <w:tc>
          <w:tcPr>
            <w:tcW w:w="2678" w:type="dxa"/>
            <w:gridSpan w:val="2"/>
          </w:tcPr>
          <w:p w:rsidR="00000000" w:rsidRDefault="003E498D">
            <w:pPr>
              <w:pStyle w:val="NoSpacing"/>
              <w:contextualSpacing/>
              <w:jc w:val="center"/>
              <w:rPr>
                <w:rFonts w:ascii="Times New Roman" w:hAnsi="Times New Roman"/>
                <w:spacing w:val="1"/>
              </w:rPr>
            </w:pPr>
            <w:r>
              <w:rPr>
                <w:rFonts w:ascii="Times New Roman" w:hAnsi="Times New Roman"/>
                <w:spacing w:val="1"/>
              </w:rPr>
              <w:t>ежедневници</w:t>
            </w:r>
          </w:p>
        </w:tc>
        <w:tc>
          <w:tcPr>
            <w:tcW w:w="2837" w:type="dxa"/>
            <w:gridSpan w:val="2"/>
          </w:tcPr>
          <w:p w:rsidR="00000000" w:rsidRDefault="003E498D">
            <w:pPr>
              <w:pStyle w:val="NoSpacing"/>
              <w:contextualSpacing/>
              <w:jc w:val="center"/>
              <w:rPr>
                <w:rFonts w:ascii="Times New Roman" w:hAnsi="Times New Roman"/>
                <w:spacing w:val="1"/>
              </w:rPr>
            </w:pPr>
            <w:r>
              <w:rPr>
                <w:rFonts w:ascii="Times New Roman" w:hAnsi="Times New Roman"/>
                <w:spacing w:val="1"/>
              </w:rPr>
              <w:t>седмичници</w:t>
            </w:r>
          </w:p>
        </w:tc>
      </w:tr>
      <w:tr w:rsidR="00000000">
        <w:tc>
          <w:tcPr>
            <w:tcW w:w="1844" w:type="dxa"/>
            <w:vMerge/>
          </w:tcPr>
          <w:p w:rsidR="00000000" w:rsidRDefault="003E498D">
            <w:pPr>
              <w:pStyle w:val="NoSpacing"/>
              <w:contextualSpacing/>
              <w:jc w:val="both"/>
              <w:rPr>
                <w:rFonts w:ascii="Times New Roman" w:hAnsi="Times New Roman"/>
                <w:spacing w:val="1"/>
              </w:rPr>
            </w:pPr>
          </w:p>
        </w:tc>
        <w:tc>
          <w:tcPr>
            <w:tcW w:w="1134"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доставен</w:t>
            </w:r>
          </w:p>
        </w:tc>
        <w:tc>
          <w:tcPr>
            <w:tcW w:w="1289"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реализиран</w:t>
            </w:r>
          </w:p>
        </w:tc>
        <w:tc>
          <w:tcPr>
            <w:tcW w:w="1292"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доставен</w:t>
            </w:r>
          </w:p>
        </w:tc>
        <w:tc>
          <w:tcPr>
            <w:tcW w:w="1386"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реализиран</w:t>
            </w:r>
          </w:p>
        </w:tc>
        <w:tc>
          <w:tcPr>
            <w:tcW w:w="1275"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доставен</w:t>
            </w:r>
          </w:p>
        </w:tc>
        <w:tc>
          <w:tcPr>
            <w:tcW w:w="1562"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реализиран</w:t>
            </w:r>
          </w:p>
        </w:tc>
      </w:tr>
      <w:tr w:rsidR="00000000">
        <w:tc>
          <w:tcPr>
            <w:tcW w:w="1844"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2009г. /м.07-12/</w:t>
            </w:r>
          </w:p>
        </w:tc>
        <w:tc>
          <w:tcPr>
            <w:tcW w:w="1134"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2</w:t>
            </w:r>
            <w:r>
              <w:rPr>
                <w:rFonts w:ascii="Times New Roman" w:hAnsi="Times New Roman"/>
                <w:spacing w:val="1"/>
                <w:lang w:val="en-US"/>
              </w:rPr>
              <w:t xml:space="preserve"> </w:t>
            </w:r>
            <w:r>
              <w:rPr>
                <w:rFonts w:ascii="Times New Roman" w:hAnsi="Times New Roman"/>
                <w:spacing w:val="1"/>
              </w:rPr>
              <w:t>045</w:t>
            </w:r>
            <w:r>
              <w:rPr>
                <w:rFonts w:ascii="Times New Roman" w:hAnsi="Times New Roman"/>
                <w:spacing w:val="1"/>
                <w:lang w:val="en-US"/>
              </w:rPr>
              <w:t xml:space="preserve"> </w:t>
            </w:r>
            <w:r>
              <w:rPr>
                <w:rFonts w:ascii="Times New Roman" w:hAnsi="Times New Roman"/>
                <w:spacing w:val="1"/>
              </w:rPr>
              <w:t>795</w:t>
            </w:r>
          </w:p>
        </w:tc>
        <w:tc>
          <w:tcPr>
            <w:tcW w:w="1289"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1</w:t>
            </w:r>
            <w:r>
              <w:rPr>
                <w:rFonts w:ascii="Times New Roman" w:hAnsi="Times New Roman"/>
                <w:spacing w:val="1"/>
                <w:lang w:val="en-US"/>
              </w:rPr>
              <w:t> </w:t>
            </w:r>
            <w:r>
              <w:rPr>
                <w:rFonts w:ascii="Times New Roman" w:hAnsi="Times New Roman"/>
                <w:spacing w:val="1"/>
              </w:rPr>
              <w:t>310</w:t>
            </w:r>
            <w:r>
              <w:rPr>
                <w:rFonts w:ascii="Times New Roman" w:hAnsi="Times New Roman"/>
                <w:spacing w:val="1"/>
                <w:lang w:val="en-US"/>
              </w:rPr>
              <w:t xml:space="preserve"> </w:t>
            </w:r>
            <w:r>
              <w:rPr>
                <w:rFonts w:ascii="Times New Roman" w:hAnsi="Times New Roman"/>
                <w:spacing w:val="1"/>
              </w:rPr>
              <w:t>766</w:t>
            </w:r>
          </w:p>
        </w:tc>
        <w:tc>
          <w:tcPr>
            <w:tcW w:w="1292"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1</w:t>
            </w:r>
            <w:r>
              <w:rPr>
                <w:rFonts w:ascii="Times New Roman" w:hAnsi="Times New Roman"/>
                <w:spacing w:val="1"/>
                <w:lang w:val="en-US"/>
              </w:rPr>
              <w:t xml:space="preserve"> </w:t>
            </w:r>
            <w:r>
              <w:rPr>
                <w:rFonts w:ascii="Times New Roman" w:hAnsi="Times New Roman"/>
                <w:spacing w:val="1"/>
              </w:rPr>
              <w:t>133</w:t>
            </w:r>
            <w:r>
              <w:rPr>
                <w:rFonts w:ascii="Times New Roman" w:hAnsi="Times New Roman"/>
                <w:spacing w:val="1"/>
                <w:lang w:val="en-US"/>
              </w:rPr>
              <w:t xml:space="preserve"> </w:t>
            </w:r>
            <w:r>
              <w:rPr>
                <w:rFonts w:ascii="Times New Roman" w:hAnsi="Times New Roman"/>
                <w:spacing w:val="1"/>
              </w:rPr>
              <w:t>588</w:t>
            </w:r>
          </w:p>
        </w:tc>
        <w:tc>
          <w:tcPr>
            <w:tcW w:w="1386"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701</w:t>
            </w:r>
            <w:r>
              <w:rPr>
                <w:rFonts w:ascii="Times New Roman" w:hAnsi="Times New Roman"/>
                <w:spacing w:val="1"/>
                <w:lang w:val="en-US"/>
              </w:rPr>
              <w:t xml:space="preserve"> </w:t>
            </w:r>
            <w:r>
              <w:rPr>
                <w:rFonts w:ascii="Times New Roman" w:hAnsi="Times New Roman"/>
                <w:spacing w:val="1"/>
              </w:rPr>
              <w:t>943</w:t>
            </w:r>
          </w:p>
        </w:tc>
        <w:tc>
          <w:tcPr>
            <w:tcW w:w="1275"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912</w:t>
            </w:r>
            <w:r>
              <w:rPr>
                <w:rFonts w:ascii="Times New Roman" w:hAnsi="Times New Roman"/>
                <w:spacing w:val="1"/>
                <w:lang w:val="en-US"/>
              </w:rPr>
              <w:t xml:space="preserve"> </w:t>
            </w:r>
            <w:r>
              <w:rPr>
                <w:rFonts w:ascii="Times New Roman" w:hAnsi="Times New Roman"/>
                <w:spacing w:val="1"/>
              </w:rPr>
              <w:t>2</w:t>
            </w:r>
            <w:r>
              <w:rPr>
                <w:rFonts w:ascii="Times New Roman" w:hAnsi="Times New Roman"/>
                <w:spacing w:val="1"/>
              </w:rPr>
              <w:t>07</w:t>
            </w:r>
          </w:p>
        </w:tc>
        <w:tc>
          <w:tcPr>
            <w:tcW w:w="1562"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608</w:t>
            </w:r>
            <w:r>
              <w:rPr>
                <w:rFonts w:ascii="Times New Roman" w:hAnsi="Times New Roman"/>
                <w:spacing w:val="1"/>
                <w:lang w:val="en-US"/>
              </w:rPr>
              <w:t xml:space="preserve"> </w:t>
            </w:r>
            <w:r>
              <w:rPr>
                <w:rFonts w:ascii="Times New Roman" w:hAnsi="Times New Roman"/>
                <w:spacing w:val="1"/>
              </w:rPr>
              <w:t>823</w:t>
            </w:r>
          </w:p>
        </w:tc>
      </w:tr>
      <w:tr w:rsidR="00000000">
        <w:tc>
          <w:tcPr>
            <w:tcW w:w="1844"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2010 г.</w:t>
            </w:r>
          </w:p>
        </w:tc>
        <w:tc>
          <w:tcPr>
            <w:tcW w:w="1134"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4</w:t>
            </w:r>
            <w:r>
              <w:rPr>
                <w:rFonts w:ascii="Times New Roman" w:hAnsi="Times New Roman"/>
                <w:spacing w:val="1"/>
                <w:lang w:val="en-US"/>
              </w:rPr>
              <w:t xml:space="preserve"> </w:t>
            </w:r>
            <w:r>
              <w:rPr>
                <w:rFonts w:ascii="Times New Roman" w:hAnsi="Times New Roman"/>
                <w:spacing w:val="1"/>
              </w:rPr>
              <w:t>675</w:t>
            </w:r>
            <w:r>
              <w:rPr>
                <w:rFonts w:ascii="Times New Roman" w:hAnsi="Times New Roman"/>
                <w:spacing w:val="1"/>
                <w:lang w:val="en-US"/>
              </w:rPr>
              <w:t xml:space="preserve"> </w:t>
            </w:r>
            <w:r>
              <w:rPr>
                <w:rFonts w:ascii="Times New Roman" w:hAnsi="Times New Roman"/>
                <w:spacing w:val="1"/>
              </w:rPr>
              <w:t>890</w:t>
            </w:r>
          </w:p>
        </w:tc>
        <w:tc>
          <w:tcPr>
            <w:tcW w:w="1289"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2</w:t>
            </w:r>
            <w:r>
              <w:rPr>
                <w:rFonts w:ascii="Times New Roman" w:hAnsi="Times New Roman"/>
                <w:spacing w:val="1"/>
                <w:lang w:val="en-US"/>
              </w:rPr>
              <w:t> </w:t>
            </w:r>
            <w:r>
              <w:rPr>
                <w:rFonts w:ascii="Times New Roman" w:hAnsi="Times New Roman"/>
                <w:spacing w:val="1"/>
              </w:rPr>
              <w:t>689</w:t>
            </w:r>
            <w:r>
              <w:rPr>
                <w:rFonts w:ascii="Times New Roman" w:hAnsi="Times New Roman"/>
                <w:spacing w:val="1"/>
                <w:lang w:val="en-US"/>
              </w:rPr>
              <w:t xml:space="preserve"> </w:t>
            </w:r>
            <w:r>
              <w:rPr>
                <w:rFonts w:ascii="Times New Roman" w:hAnsi="Times New Roman"/>
                <w:spacing w:val="1"/>
              </w:rPr>
              <w:t>748</w:t>
            </w:r>
          </w:p>
        </w:tc>
        <w:tc>
          <w:tcPr>
            <w:tcW w:w="1292"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2</w:t>
            </w:r>
            <w:r>
              <w:rPr>
                <w:rFonts w:ascii="Times New Roman" w:hAnsi="Times New Roman"/>
                <w:spacing w:val="1"/>
                <w:lang w:val="en-US"/>
              </w:rPr>
              <w:t xml:space="preserve"> </w:t>
            </w:r>
            <w:r>
              <w:rPr>
                <w:rFonts w:ascii="Times New Roman" w:hAnsi="Times New Roman"/>
                <w:spacing w:val="1"/>
              </w:rPr>
              <w:t>620</w:t>
            </w:r>
            <w:r>
              <w:rPr>
                <w:rFonts w:ascii="Times New Roman" w:hAnsi="Times New Roman"/>
                <w:spacing w:val="1"/>
                <w:lang w:val="en-US"/>
              </w:rPr>
              <w:t xml:space="preserve"> </w:t>
            </w:r>
            <w:r>
              <w:rPr>
                <w:rFonts w:ascii="Times New Roman" w:hAnsi="Times New Roman"/>
                <w:spacing w:val="1"/>
              </w:rPr>
              <w:t>923</w:t>
            </w:r>
          </w:p>
        </w:tc>
        <w:tc>
          <w:tcPr>
            <w:tcW w:w="1386"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1</w:t>
            </w:r>
            <w:r>
              <w:rPr>
                <w:rFonts w:ascii="Times New Roman" w:hAnsi="Times New Roman"/>
                <w:spacing w:val="1"/>
                <w:lang w:val="en-US"/>
              </w:rPr>
              <w:t> </w:t>
            </w:r>
            <w:r>
              <w:rPr>
                <w:rFonts w:ascii="Times New Roman" w:hAnsi="Times New Roman"/>
                <w:spacing w:val="1"/>
              </w:rPr>
              <w:t>436</w:t>
            </w:r>
            <w:r>
              <w:rPr>
                <w:rFonts w:ascii="Times New Roman" w:hAnsi="Times New Roman"/>
                <w:spacing w:val="1"/>
                <w:lang w:val="en-US"/>
              </w:rPr>
              <w:t xml:space="preserve"> </w:t>
            </w:r>
            <w:r>
              <w:rPr>
                <w:rFonts w:ascii="Times New Roman" w:hAnsi="Times New Roman"/>
                <w:spacing w:val="1"/>
              </w:rPr>
              <w:t>445</w:t>
            </w:r>
          </w:p>
        </w:tc>
        <w:tc>
          <w:tcPr>
            <w:tcW w:w="1275"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2054967</w:t>
            </w:r>
          </w:p>
        </w:tc>
        <w:tc>
          <w:tcPr>
            <w:tcW w:w="1562"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1</w:t>
            </w:r>
            <w:r>
              <w:rPr>
                <w:rFonts w:ascii="Times New Roman" w:hAnsi="Times New Roman"/>
                <w:spacing w:val="1"/>
                <w:lang w:val="en-US"/>
              </w:rPr>
              <w:t xml:space="preserve"> </w:t>
            </w:r>
            <w:r>
              <w:rPr>
                <w:rFonts w:ascii="Times New Roman" w:hAnsi="Times New Roman"/>
                <w:spacing w:val="1"/>
              </w:rPr>
              <w:t>253</w:t>
            </w:r>
            <w:r>
              <w:rPr>
                <w:rFonts w:ascii="Times New Roman" w:hAnsi="Times New Roman"/>
                <w:spacing w:val="1"/>
                <w:lang w:val="en-US"/>
              </w:rPr>
              <w:t xml:space="preserve"> </w:t>
            </w:r>
            <w:r>
              <w:rPr>
                <w:rFonts w:ascii="Times New Roman" w:hAnsi="Times New Roman"/>
                <w:spacing w:val="1"/>
              </w:rPr>
              <w:t>303</w:t>
            </w:r>
          </w:p>
        </w:tc>
      </w:tr>
      <w:tr w:rsidR="00000000">
        <w:tc>
          <w:tcPr>
            <w:tcW w:w="1844"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2011 г.</w:t>
            </w:r>
          </w:p>
        </w:tc>
        <w:tc>
          <w:tcPr>
            <w:tcW w:w="1134"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5</w:t>
            </w:r>
            <w:r>
              <w:rPr>
                <w:rFonts w:ascii="Times New Roman" w:hAnsi="Times New Roman"/>
                <w:spacing w:val="1"/>
                <w:lang w:val="en-US"/>
              </w:rPr>
              <w:t> </w:t>
            </w:r>
            <w:r>
              <w:rPr>
                <w:rFonts w:ascii="Times New Roman" w:hAnsi="Times New Roman"/>
                <w:spacing w:val="1"/>
              </w:rPr>
              <w:t>269</w:t>
            </w:r>
            <w:r>
              <w:rPr>
                <w:rFonts w:ascii="Times New Roman" w:hAnsi="Times New Roman"/>
                <w:spacing w:val="1"/>
                <w:lang w:val="en-US"/>
              </w:rPr>
              <w:t xml:space="preserve"> </w:t>
            </w:r>
            <w:r>
              <w:rPr>
                <w:rFonts w:ascii="Times New Roman" w:hAnsi="Times New Roman"/>
                <w:spacing w:val="1"/>
              </w:rPr>
              <w:t>967</w:t>
            </w:r>
          </w:p>
        </w:tc>
        <w:tc>
          <w:tcPr>
            <w:tcW w:w="1289"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3</w:t>
            </w:r>
            <w:r>
              <w:rPr>
                <w:rFonts w:ascii="Times New Roman" w:hAnsi="Times New Roman"/>
                <w:spacing w:val="1"/>
                <w:lang w:val="en-US"/>
              </w:rPr>
              <w:t> </w:t>
            </w:r>
            <w:r>
              <w:rPr>
                <w:rFonts w:ascii="Times New Roman" w:hAnsi="Times New Roman"/>
                <w:spacing w:val="1"/>
              </w:rPr>
              <w:t>182</w:t>
            </w:r>
            <w:r>
              <w:rPr>
                <w:rFonts w:ascii="Times New Roman" w:hAnsi="Times New Roman"/>
                <w:spacing w:val="1"/>
                <w:lang w:val="en-US"/>
              </w:rPr>
              <w:t xml:space="preserve"> </w:t>
            </w:r>
            <w:r>
              <w:rPr>
                <w:rFonts w:ascii="Times New Roman" w:hAnsi="Times New Roman"/>
                <w:spacing w:val="1"/>
              </w:rPr>
              <w:t>865</w:t>
            </w:r>
          </w:p>
        </w:tc>
        <w:tc>
          <w:tcPr>
            <w:tcW w:w="1292"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3</w:t>
            </w:r>
            <w:r>
              <w:rPr>
                <w:rFonts w:ascii="Times New Roman" w:hAnsi="Times New Roman"/>
                <w:spacing w:val="1"/>
                <w:lang w:val="en-US"/>
              </w:rPr>
              <w:t> </w:t>
            </w:r>
            <w:r>
              <w:rPr>
                <w:rFonts w:ascii="Times New Roman" w:hAnsi="Times New Roman"/>
                <w:spacing w:val="1"/>
              </w:rPr>
              <w:t>170</w:t>
            </w:r>
            <w:r>
              <w:rPr>
                <w:rFonts w:ascii="Times New Roman" w:hAnsi="Times New Roman"/>
                <w:spacing w:val="1"/>
                <w:lang w:val="en-US"/>
              </w:rPr>
              <w:t xml:space="preserve"> </w:t>
            </w:r>
            <w:r>
              <w:rPr>
                <w:rFonts w:ascii="Times New Roman" w:hAnsi="Times New Roman"/>
                <w:spacing w:val="1"/>
              </w:rPr>
              <w:t>618</w:t>
            </w:r>
          </w:p>
        </w:tc>
        <w:tc>
          <w:tcPr>
            <w:tcW w:w="1386"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1</w:t>
            </w:r>
            <w:r>
              <w:rPr>
                <w:rFonts w:ascii="Times New Roman" w:hAnsi="Times New Roman"/>
                <w:spacing w:val="1"/>
                <w:lang w:val="en-US"/>
              </w:rPr>
              <w:t xml:space="preserve"> </w:t>
            </w:r>
            <w:r>
              <w:rPr>
                <w:rFonts w:ascii="Times New Roman" w:hAnsi="Times New Roman"/>
                <w:spacing w:val="1"/>
              </w:rPr>
              <w:t>766</w:t>
            </w:r>
            <w:r>
              <w:rPr>
                <w:rFonts w:ascii="Times New Roman" w:hAnsi="Times New Roman"/>
                <w:spacing w:val="1"/>
                <w:lang w:val="en-US"/>
              </w:rPr>
              <w:t xml:space="preserve"> </w:t>
            </w:r>
            <w:r>
              <w:rPr>
                <w:rFonts w:ascii="Times New Roman" w:hAnsi="Times New Roman"/>
                <w:spacing w:val="1"/>
              </w:rPr>
              <w:t>588</w:t>
            </w:r>
          </w:p>
        </w:tc>
        <w:tc>
          <w:tcPr>
            <w:tcW w:w="1275"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2099349</w:t>
            </w:r>
          </w:p>
        </w:tc>
        <w:tc>
          <w:tcPr>
            <w:tcW w:w="1562"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1</w:t>
            </w:r>
            <w:r>
              <w:rPr>
                <w:rFonts w:ascii="Times New Roman" w:hAnsi="Times New Roman"/>
                <w:spacing w:val="1"/>
                <w:lang w:val="en-US"/>
              </w:rPr>
              <w:t xml:space="preserve"> </w:t>
            </w:r>
            <w:r>
              <w:rPr>
                <w:rFonts w:ascii="Times New Roman" w:hAnsi="Times New Roman"/>
                <w:spacing w:val="1"/>
              </w:rPr>
              <w:t>416</w:t>
            </w:r>
            <w:r>
              <w:rPr>
                <w:rFonts w:ascii="Times New Roman" w:hAnsi="Times New Roman"/>
                <w:spacing w:val="1"/>
                <w:lang w:val="en-US"/>
              </w:rPr>
              <w:t xml:space="preserve"> </w:t>
            </w:r>
            <w:r>
              <w:rPr>
                <w:rFonts w:ascii="Times New Roman" w:hAnsi="Times New Roman"/>
                <w:spacing w:val="1"/>
              </w:rPr>
              <w:t>277</w:t>
            </w:r>
          </w:p>
        </w:tc>
      </w:tr>
    </w:tbl>
    <w:p w:rsidR="00000000" w:rsidRDefault="003E498D">
      <w:pPr>
        <w:contextualSpacing/>
        <w:jc w:val="both"/>
        <w:rPr>
          <w:rFonts w:ascii="Times New Roman" w:hAnsi="Times New Roman"/>
          <w:i/>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i/>
          <w:sz w:val="26"/>
          <w:szCs w:val="26"/>
        </w:rPr>
        <w:t xml:space="preserve">Доставеният тираж </w:t>
      </w:r>
      <w:r>
        <w:rPr>
          <w:rFonts w:ascii="Times New Roman" w:hAnsi="Times New Roman"/>
          <w:sz w:val="26"/>
          <w:szCs w:val="26"/>
        </w:rPr>
        <w:t>на национални вестници за 2011г. е с над 594 хил. бр. повече от този за 2010г.</w:t>
      </w:r>
      <w:r>
        <w:rPr>
          <w:rFonts w:ascii="Times New Roman" w:eastAsia="Times New Roman" w:hAnsi="Times New Roman"/>
          <w:sz w:val="26"/>
          <w:szCs w:val="26"/>
          <w:vertAlign w:val="superscript"/>
        </w:rPr>
        <w:footnoteReference w:id="17"/>
      </w:r>
      <w:r>
        <w:rPr>
          <w:rFonts w:ascii="Times New Roman" w:hAnsi="Times New Roman"/>
          <w:sz w:val="26"/>
          <w:szCs w:val="26"/>
        </w:rPr>
        <w:t xml:space="preserve"> В структура</w:t>
      </w:r>
      <w:r>
        <w:rPr>
          <w:rFonts w:ascii="Times New Roman" w:hAnsi="Times New Roman"/>
          <w:sz w:val="26"/>
          <w:szCs w:val="26"/>
        </w:rPr>
        <w:t xml:space="preserve">та на доставените вестници – </w:t>
      </w:r>
      <w:r>
        <w:rPr>
          <w:rFonts w:ascii="Times New Roman" w:hAnsi="Times New Roman"/>
          <w:i/>
          <w:sz w:val="26"/>
          <w:szCs w:val="26"/>
        </w:rPr>
        <w:t>ежедневниците</w:t>
      </w:r>
      <w:r>
        <w:rPr>
          <w:rFonts w:ascii="Times New Roman" w:hAnsi="Times New Roman"/>
          <w:sz w:val="26"/>
          <w:szCs w:val="26"/>
        </w:rPr>
        <w:t xml:space="preserve"> формират над половината от общото им количество, респ. </w:t>
      </w:r>
      <w:r>
        <w:rPr>
          <w:rFonts w:ascii="Times New Roman" w:hAnsi="Times New Roman"/>
          <w:b/>
          <w:sz w:val="26"/>
          <w:szCs w:val="26"/>
        </w:rPr>
        <w:t>55,41%</w:t>
      </w:r>
      <w:r>
        <w:rPr>
          <w:rFonts w:ascii="Times New Roman" w:hAnsi="Times New Roman"/>
          <w:sz w:val="26"/>
          <w:szCs w:val="26"/>
        </w:rPr>
        <w:t xml:space="preserve"> /2009г./, </w:t>
      </w:r>
      <w:r>
        <w:rPr>
          <w:rFonts w:ascii="Times New Roman" w:hAnsi="Times New Roman"/>
          <w:b/>
          <w:sz w:val="26"/>
          <w:szCs w:val="26"/>
        </w:rPr>
        <w:t>56,05%</w:t>
      </w:r>
      <w:r>
        <w:rPr>
          <w:rFonts w:ascii="Times New Roman" w:hAnsi="Times New Roman"/>
          <w:sz w:val="26"/>
          <w:szCs w:val="26"/>
        </w:rPr>
        <w:t xml:space="preserve"> /2010г./, </w:t>
      </w:r>
      <w:r>
        <w:rPr>
          <w:rFonts w:ascii="Times New Roman" w:hAnsi="Times New Roman"/>
          <w:b/>
          <w:sz w:val="26"/>
          <w:szCs w:val="26"/>
        </w:rPr>
        <w:t>60,16%</w:t>
      </w:r>
      <w:r>
        <w:rPr>
          <w:rFonts w:ascii="Times New Roman" w:hAnsi="Times New Roman"/>
          <w:sz w:val="26"/>
          <w:szCs w:val="26"/>
        </w:rPr>
        <w:t xml:space="preserve"> /2011г./. В структурата на доставения на дружеството тираж </w:t>
      </w:r>
      <w:r>
        <w:rPr>
          <w:rFonts w:ascii="Times New Roman" w:hAnsi="Times New Roman"/>
          <w:i/>
          <w:sz w:val="26"/>
          <w:szCs w:val="26"/>
        </w:rPr>
        <w:t>вестниците</w:t>
      </w:r>
      <w:r>
        <w:rPr>
          <w:rFonts w:ascii="Times New Roman" w:hAnsi="Times New Roman"/>
          <w:sz w:val="26"/>
          <w:szCs w:val="26"/>
        </w:rPr>
        <w:t xml:space="preserve"> за всяка една от годините на анализирания перио</w:t>
      </w:r>
      <w:r>
        <w:rPr>
          <w:rFonts w:ascii="Times New Roman" w:hAnsi="Times New Roman"/>
          <w:sz w:val="26"/>
          <w:szCs w:val="26"/>
        </w:rPr>
        <w:t xml:space="preserve">д имат значим дял </w:t>
      </w:r>
      <w:r>
        <w:rPr>
          <w:rFonts w:ascii="Times New Roman" w:hAnsi="Times New Roman"/>
          <w:b/>
          <w:sz w:val="26"/>
          <w:szCs w:val="26"/>
        </w:rPr>
        <w:t>70,71%</w:t>
      </w:r>
      <w:r>
        <w:rPr>
          <w:rFonts w:ascii="Times New Roman" w:hAnsi="Times New Roman"/>
          <w:sz w:val="26"/>
          <w:szCs w:val="26"/>
        </w:rPr>
        <w:t xml:space="preserve"> /2009г./, </w:t>
      </w:r>
      <w:r>
        <w:rPr>
          <w:rFonts w:ascii="Times New Roman" w:hAnsi="Times New Roman"/>
          <w:b/>
          <w:sz w:val="26"/>
          <w:szCs w:val="26"/>
        </w:rPr>
        <w:t>73,57%</w:t>
      </w:r>
      <w:r>
        <w:rPr>
          <w:rFonts w:ascii="Times New Roman" w:hAnsi="Times New Roman"/>
          <w:sz w:val="26"/>
          <w:szCs w:val="26"/>
        </w:rPr>
        <w:t xml:space="preserve"> /2010г./, </w:t>
      </w:r>
      <w:r>
        <w:rPr>
          <w:rFonts w:ascii="Times New Roman" w:hAnsi="Times New Roman"/>
          <w:b/>
          <w:sz w:val="26"/>
          <w:szCs w:val="26"/>
        </w:rPr>
        <w:t>74,80%</w:t>
      </w:r>
      <w:r>
        <w:rPr>
          <w:rFonts w:ascii="Times New Roman" w:hAnsi="Times New Roman"/>
          <w:sz w:val="26"/>
          <w:szCs w:val="26"/>
        </w:rPr>
        <w:t xml:space="preserve"> /2011г./, а останалото количество е списания.</w:t>
      </w:r>
    </w:p>
    <w:p w:rsidR="00000000" w:rsidRDefault="003E498D">
      <w:pPr>
        <w:ind w:firstLine="708"/>
        <w:contextualSpacing/>
        <w:jc w:val="both"/>
        <w:rPr>
          <w:rFonts w:ascii="Times New Roman" w:hAnsi="Times New Roman"/>
          <w:b/>
          <w:sz w:val="26"/>
          <w:szCs w:val="26"/>
        </w:rPr>
      </w:pPr>
      <w:r>
        <w:rPr>
          <w:rFonts w:ascii="Times New Roman" w:hAnsi="Times New Roman"/>
          <w:sz w:val="26"/>
          <w:szCs w:val="26"/>
        </w:rPr>
        <w:t xml:space="preserve">Общият реализиран тираж от вестници и списания за анализирания период бележи увеличение и е съответно: </w:t>
      </w:r>
      <w:r>
        <w:rPr>
          <w:rFonts w:ascii="Times New Roman" w:hAnsi="Times New Roman"/>
          <w:b/>
          <w:sz w:val="26"/>
          <w:szCs w:val="26"/>
        </w:rPr>
        <w:t>1881416 бр. /2009/, 3678003 бр./2010г./, 4260190</w:t>
      </w:r>
      <w:r>
        <w:rPr>
          <w:rFonts w:ascii="Times New Roman" w:hAnsi="Times New Roman"/>
          <w:b/>
          <w:sz w:val="26"/>
          <w:szCs w:val="26"/>
        </w:rPr>
        <w:t xml:space="preserve"> бр. /2011г./</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Таблица № 10 предоставя информация за видовите канали на реализация, които използва дружеството в своята дейност по разпространение на печата.</w:t>
      </w:r>
    </w:p>
    <w:p w:rsidR="00000000" w:rsidRDefault="003E498D">
      <w:pPr>
        <w:ind w:firstLine="708"/>
        <w:contextualSpacing/>
        <w:jc w:val="right"/>
        <w:rPr>
          <w:rFonts w:ascii="Times New Roman" w:hAnsi="Times New Roman"/>
          <w:spacing w:val="1"/>
          <w:sz w:val="26"/>
          <w:szCs w:val="26"/>
        </w:rPr>
      </w:pPr>
      <w:r>
        <w:rPr>
          <w:rFonts w:ascii="Times New Roman" w:hAnsi="Times New Roman"/>
          <w:sz w:val="26"/>
          <w:szCs w:val="26"/>
        </w:rPr>
        <w:t xml:space="preserve">  </w:t>
      </w:r>
      <w:r>
        <w:rPr>
          <w:rFonts w:ascii="Times New Roman" w:hAnsi="Times New Roman"/>
          <w:spacing w:val="1"/>
          <w:sz w:val="26"/>
          <w:szCs w:val="26"/>
        </w:rPr>
        <w:tab/>
      </w:r>
      <w:r>
        <w:rPr>
          <w:rFonts w:ascii="Times New Roman" w:hAnsi="Times New Roman"/>
          <w:spacing w:val="1"/>
          <w:sz w:val="26"/>
          <w:szCs w:val="26"/>
        </w:rPr>
        <w:tab/>
      </w:r>
      <w:r>
        <w:rPr>
          <w:rFonts w:ascii="Times New Roman" w:hAnsi="Times New Roman"/>
          <w:spacing w:val="1"/>
          <w:sz w:val="26"/>
          <w:szCs w:val="26"/>
        </w:rPr>
        <w:tab/>
      </w:r>
      <w:r>
        <w:rPr>
          <w:rFonts w:ascii="Times New Roman" w:hAnsi="Times New Roman"/>
          <w:spacing w:val="1"/>
          <w:sz w:val="26"/>
          <w:szCs w:val="26"/>
        </w:rPr>
        <w:tab/>
      </w:r>
      <w:r>
        <w:rPr>
          <w:rFonts w:ascii="Times New Roman" w:hAnsi="Times New Roman"/>
          <w:spacing w:val="1"/>
          <w:sz w:val="26"/>
          <w:szCs w:val="26"/>
        </w:rPr>
        <w:tab/>
      </w:r>
      <w:r>
        <w:rPr>
          <w:rFonts w:ascii="Times New Roman" w:hAnsi="Times New Roman"/>
          <w:spacing w:val="1"/>
          <w:sz w:val="26"/>
          <w:szCs w:val="26"/>
        </w:rPr>
        <w:tab/>
      </w:r>
      <w:r>
        <w:rPr>
          <w:rFonts w:ascii="Times New Roman" w:hAnsi="Times New Roman"/>
          <w:spacing w:val="1"/>
          <w:sz w:val="26"/>
          <w:szCs w:val="26"/>
        </w:rPr>
        <w:tab/>
      </w:r>
      <w:r>
        <w:rPr>
          <w:rFonts w:ascii="Times New Roman" w:hAnsi="Times New Roman"/>
          <w:spacing w:val="1"/>
          <w:sz w:val="26"/>
          <w:szCs w:val="26"/>
        </w:rPr>
        <w:tab/>
      </w:r>
      <w:r>
        <w:rPr>
          <w:rFonts w:ascii="Times New Roman" w:hAnsi="Times New Roman"/>
          <w:spacing w:val="1"/>
          <w:sz w:val="26"/>
          <w:szCs w:val="26"/>
        </w:rPr>
        <w:tab/>
      </w:r>
      <w:r>
        <w:rPr>
          <w:rFonts w:ascii="Times New Roman" w:hAnsi="Times New Roman"/>
          <w:spacing w:val="1"/>
          <w:sz w:val="26"/>
          <w:szCs w:val="26"/>
        </w:rPr>
        <w:t>Таблица №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3"/>
        <w:gridCol w:w="2303"/>
        <w:gridCol w:w="2303"/>
        <w:gridCol w:w="2303"/>
      </w:tblGrid>
      <w:tr w:rsidR="00000000">
        <w:tc>
          <w:tcPr>
            <w:tcW w:w="2303" w:type="dxa"/>
            <w:vMerge w:val="restart"/>
            <w:vAlign w:val="center"/>
          </w:tcPr>
          <w:p w:rsidR="00000000" w:rsidRDefault="003E498D">
            <w:pPr>
              <w:pStyle w:val="NoSpacing"/>
              <w:contextualSpacing/>
              <w:jc w:val="center"/>
              <w:rPr>
                <w:rFonts w:ascii="Times New Roman" w:hAnsi="Times New Roman"/>
                <w:b/>
                <w:spacing w:val="1"/>
              </w:rPr>
            </w:pPr>
            <w:r>
              <w:rPr>
                <w:rFonts w:ascii="Times New Roman" w:hAnsi="Times New Roman"/>
                <w:b/>
                <w:spacing w:val="1"/>
              </w:rPr>
              <w:t>Година</w:t>
            </w:r>
          </w:p>
        </w:tc>
        <w:tc>
          <w:tcPr>
            <w:tcW w:w="6909" w:type="dxa"/>
            <w:gridSpan w:val="3"/>
            <w:vAlign w:val="center"/>
          </w:tcPr>
          <w:p w:rsidR="00000000" w:rsidRDefault="003E498D">
            <w:pPr>
              <w:pStyle w:val="NoSpacing"/>
              <w:contextualSpacing/>
              <w:jc w:val="center"/>
              <w:rPr>
                <w:rFonts w:ascii="Times New Roman" w:hAnsi="Times New Roman"/>
                <w:b/>
                <w:spacing w:val="1"/>
              </w:rPr>
            </w:pPr>
            <w:r>
              <w:rPr>
                <w:rFonts w:ascii="Times New Roman" w:hAnsi="Times New Roman"/>
                <w:b/>
                <w:spacing w:val="1"/>
              </w:rPr>
              <w:t>Реализирани бройки печатни издания по видове канали</w:t>
            </w:r>
          </w:p>
        </w:tc>
      </w:tr>
      <w:tr w:rsidR="00000000">
        <w:tc>
          <w:tcPr>
            <w:tcW w:w="2303" w:type="dxa"/>
            <w:vMerge/>
            <w:vAlign w:val="center"/>
          </w:tcPr>
          <w:p w:rsidR="00000000" w:rsidRDefault="003E498D">
            <w:pPr>
              <w:pStyle w:val="NoSpacing"/>
              <w:contextualSpacing/>
              <w:jc w:val="center"/>
              <w:rPr>
                <w:rFonts w:ascii="Times New Roman" w:hAnsi="Times New Roman"/>
                <w:b/>
                <w:spacing w:val="1"/>
              </w:rPr>
            </w:pPr>
          </w:p>
        </w:tc>
        <w:tc>
          <w:tcPr>
            <w:tcW w:w="2303" w:type="dxa"/>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Собствени</w:t>
            </w:r>
          </w:p>
        </w:tc>
        <w:tc>
          <w:tcPr>
            <w:tcW w:w="2303" w:type="dxa"/>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Абон</w:t>
            </w:r>
            <w:r>
              <w:rPr>
                <w:rFonts w:ascii="Times New Roman" w:hAnsi="Times New Roman"/>
                <w:spacing w:val="1"/>
              </w:rPr>
              <w:t>амент</w:t>
            </w:r>
          </w:p>
        </w:tc>
        <w:tc>
          <w:tcPr>
            <w:tcW w:w="2303" w:type="dxa"/>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Независими крайни пунктове</w:t>
            </w:r>
          </w:p>
        </w:tc>
      </w:tr>
      <w:tr w:rsidR="00000000">
        <w:tc>
          <w:tcPr>
            <w:tcW w:w="2303"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2009/м.07-12/ г.</w:t>
            </w:r>
          </w:p>
        </w:tc>
        <w:tc>
          <w:tcPr>
            <w:tcW w:w="2303"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199</w:t>
            </w:r>
            <w:r>
              <w:rPr>
                <w:rFonts w:ascii="Times New Roman" w:hAnsi="Times New Roman"/>
                <w:spacing w:val="1"/>
                <w:lang w:val="en-US"/>
              </w:rPr>
              <w:t xml:space="preserve"> </w:t>
            </w:r>
            <w:r>
              <w:rPr>
                <w:rFonts w:ascii="Times New Roman" w:hAnsi="Times New Roman"/>
                <w:spacing w:val="1"/>
              </w:rPr>
              <w:t>041</w:t>
            </w:r>
          </w:p>
        </w:tc>
        <w:tc>
          <w:tcPr>
            <w:tcW w:w="2303"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22</w:t>
            </w:r>
            <w:r>
              <w:rPr>
                <w:rFonts w:ascii="Times New Roman" w:hAnsi="Times New Roman"/>
                <w:spacing w:val="1"/>
                <w:lang w:val="en-US"/>
              </w:rPr>
              <w:t xml:space="preserve"> </w:t>
            </w:r>
            <w:r>
              <w:rPr>
                <w:rFonts w:ascii="Times New Roman" w:hAnsi="Times New Roman"/>
                <w:spacing w:val="1"/>
              </w:rPr>
              <w:t>557</w:t>
            </w:r>
          </w:p>
        </w:tc>
        <w:tc>
          <w:tcPr>
            <w:tcW w:w="2303"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1</w:t>
            </w:r>
            <w:r>
              <w:rPr>
                <w:rFonts w:ascii="Times New Roman" w:hAnsi="Times New Roman"/>
                <w:spacing w:val="1"/>
                <w:lang w:val="en-US"/>
              </w:rPr>
              <w:t xml:space="preserve"> </w:t>
            </w:r>
            <w:r>
              <w:rPr>
                <w:rFonts w:ascii="Times New Roman" w:hAnsi="Times New Roman"/>
                <w:spacing w:val="1"/>
              </w:rPr>
              <w:t>659</w:t>
            </w:r>
            <w:r>
              <w:rPr>
                <w:rFonts w:ascii="Times New Roman" w:hAnsi="Times New Roman"/>
                <w:spacing w:val="1"/>
                <w:lang w:val="en-US"/>
              </w:rPr>
              <w:t xml:space="preserve"> </w:t>
            </w:r>
            <w:r>
              <w:rPr>
                <w:rFonts w:ascii="Times New Roman" w:hAnsi="Times New Roman"/>
                <w:spacing w:val="1"/>
              </w:rPr>
              <w:t>818</w:t>
            </w:r>
          </w:p>
        </w:tc>
      </w:tr>
      <w:tr w:rsidR="00000000">
        <w:tc>
          <w:tcPr>
            <w:tcW w:w="2303"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2010 г.</w:t>
            </w:r>
          </w:p>
        </w:tc>
        <w:tc>
          <w:tcPr>
            <w:tcW w:w="2303"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177</w:t>
            </w:r>
            <w:r>
              <w:rPr>
                <w:rFonts w:ascii="Times New Roman" w:hAnsi="Times New Roman"/>
                <w:spacing w:val="1"/>
                <w:lang w:val="en-US"/>
              </w:rPr>
              <w:t xml:space="preserve"> </w:t>
            </w:r>
            <w:r>
              <w:rPr>
                <w:rFonts w:ascii="Times New Roman" w:hAnsi="Times New Roman"/>
                <w:spacing w:val="1"/>
              </w:rPr>
              <w:t>220</w:t>
            </w:r>
          </w:p>
        </w:tc>
        <w:tc>
          <w:tcPr>
            <w:tcW w:w="2303"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19</w:t>
            </w:r>
            <w:r>
              <w:rPr>
                <w:rFonts w:ascii="Times New Roman" w:hAnsi="Times New Roman"/>
                <w:spacing w:val="1"/>
                <w:lang w:val="en-US"/>
              </w:rPr>
              <w:t xml:space="preserve"> </w:t>
            </w:r>
            <w:r>
              <w:rPr>
                <w:rFonts w:ascii="Times New Roman" w:hAnsi="Times New Roman"/>
                <w:spacing w:val="1"/>
              </w:rPr>
              <w:t>894</w:t>
            </w:r>
          </w:p>
        </w:tc>
        <w:tc>
          <w:tcPr>
            <w:tcW w:w="2303"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3</w:t>
            </w:r>
            <w:r>
              <w:rPr>
                <w:rFonts w:ascii="Times New Roman" w:hAnsi="Times New Roman"/>
                <w:spacing w:val="1"/>
                <w:lang w:val="en-US"/>
              </w:rPr>
              <w:t xml:space="preserve"> </w:t>
            </w:r>
            <w:r>
              <w:rPr>
                <w:rFonts w:ascii="Times New Roman" w:hAnsi="Times New Roman"/>
                <w:spacing w:val="1"/>
              </w:rPr>
              <w:t>480</w:t>
            </w:r>
            <w:r>
              <w:rPr>
                <w:rFonts w:ascii="Times New Roman" w:hAnsi="Times New Roman"/>
                <w:spacing w:val="1"/>
                <w:lang w:val="en-US"/>
              </w:rPr>
              <w:t xml:space="preserve"> </w:t>
            </w:r>
            <w:r>
              <w:rPr>
                <w:rFonts w:ascii="Times New Roman" w:hAnsi="Times New Roman"/>
                <w:spacing w:val="1"/>
              </w:rPr>
              <w:t>889</w:t>
            </w:r>
          </w:p>
        </w:tc>
      </w:tr>
      <w:tr w:rsidR="00000000">
        <w:tc>
          <w:tcPr>
            <w:tcW w:w="2303"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2011 г.</w:t>
            </w:r>
          </w:p>
        </w:tc>
        <w:tc>
          <w:tcPr>
            <w:tcW w:w="2303"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144</w:t>
            </w:r>
            <w:r>
              <w:rPr>
                <w:rFonts w:ascii="Times New Roman" w:hAnsi="Times New Roman"/>
                <w:spacing w:val="1"/>
                <w:lang w:val="en-US"/>
              </w:rPr>
              <w:t xml:space="preserve"> </w:t>
            </w:r>
            <w:r>
              <w:rPr>
                <w:rFonts w:ascii="Times New Roman" w:hAnsi="Times New Roman"/>
                <w:spacing w:val="1"/>
              </w:rPr>
              <w:t>105</w:t>
            </w:r>
          </w:p>
        </w:tc>
        <w:tc>
          <w:tcPr>
            <w:tcW w:w="2303"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5</w:t>
            </w:r>
            <w:r>
              <w:rPr>
                <w:rFonts w:ascii="Times New Roman" w:hAnsi="Times New Roman"/>
                <w:spacing w:val="1"/>
                <w:lang w:val="en-US"/>
              </w:rPr>
              <w:t xml:space="preserve"> </w:t>
            </w:r>
            <w:r>
              <w:rPr>
                <w:rFonts w:ascii="Times New Roman" w:hAnsi="Times New Roman"/>
                <w:spacing w:val="1"/>
              </w:rPr>
              <w:t>259</w:t>
            </w:r>
          </w:p>
        </w:tc>
        <w:tc>
          <w:tcPr>
            <w:tcW w:w="2303"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4</w:t>
            </w:r>
            <w:r>
              <w:rPr>
                <w:rFonts w:ascii="Times New Roman" w:hAnsi="Times New Roman"/>
                <w:spacing w:val="1"/>
                <w:lang w:val="en-US"/>
              </w:rPr>
              <w:t xml:space="preserve"> </w:t>
            </w:r>
            <w:r>
              <w:rPr>
                <w:rFonts w:ascii="Times New Roman" w:hAnsi="Times New Roman"/>
                <w:spacing w:val="1"/>
              </w:rPr>
              <w:t>110</w:t>
            </w:r>
            <w:r>
              <w:rPr>
                <w:rFonts w:ascii="Times New Roman" w:hAnsi="Times New Roman"/>
                <w:spacing w:val="1"/>
                <w:lang w:val="en-US"/>
              </w:rPr>
              <w:t xml:space="preserve"> </w:t>
            </w:r>
            <w:r>
              <w:rPr>
                <w:rFonts w:ascii="Times New Roman" w:hAnsi="Times New Roman"/>
                <w:spacing w:val="1"/>
              </w:rPr>
              <w:t>826</w:t>
            </w:r>
          </w:p>
        </w:tc>
      </w:tr>
    </w:tbl>
    <w:p w:rsidR="00000000" w:rsidRDefault="003E498D">
      <w:pPr>
        <w:ind w:firstLine="708"/>
        <w:contextualSpacing/>
        <w:jc w:val="both"/>
        <w:rPr>
          <w:rFonts w:ascii="Times New Roman" w:hAnsi="Times New Roman"/>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От данните е видно, че печатните издания се реализират основно чрез </w:t>
      </w:r>
      <w:r>
        <w:rPr>
          <w:rFonts w:ascii="Times New Roman" w:hAnsi="Times New Roman"/>
          <w:i/>
          <w:sz w:val="26"/>
          <w:szCs w:val="26"/>
        </w:rPr>
        <w:t>независими крайни пунктове</w:t>
      </w:r>
      <w:r>
        <w:rPr>
          <w:rFonts w:ascii="Times New Roman" w:hAnsi="Times New Roman"/>
          <w:sz w:val="26"/>
          <w:szCs w:val="26"/>
        </w:rPr>
        <w:t xml:space="preserve"> - (88,22% /2009г</w:t>
      </w:r>
      <w:r>
        <w:rPr>
          <w:rFonts w:ascii="Times New Roman" w:hAnsi="Times New Roman"/>
          <w:sz w:val="26"/>
          <w:szCs w:val="26"/>
        </w:rPr>
        <w:t>./, 94,64% /2010г./, 96,50% /2011г./), чрез собствени (10,58% /2009г./, 4,82% /2010г./, 3,38% /2011г./), а незначителен процент - чрез абонамент.</w:t>
      </w:r>
    </w:p>
    <w:p w:rsidR="00000000" w:rsidRDefault="003E498D">
      <w:pPr>
        <w:pStyle w:val="NoSpacing"/>
        <w:ind w:firstLine="708"/>
        <w:contextualSpacing/>
        <w:jc w:val="both"/>
        <w:rPr>
          <w:rFonts w:ascii="Times New Roman" w:hAnsi="Times New Roman"/>
          <w:sz w:val="26"/>
          <w:szCs w:val="26"/>
        </w:rPr>
      </w:pPr>
      <w:bookmarkStart w:id="7" w:name="_Toc340653762"/>
      <w:r>
        <w:rPr>
          <w:rFonts w:ascii="Times New Roman" w:hAnsi="Times New Roman"/>
          <w:b/>
          <w:sz w:val="26"/>
          <w:szCs w:val="26"/>
        </w:rPr>
        <w:t>„Национална Агенция Разпространение“ ЕАД, София</w:t>
      </w:r>
      <w:r>
        <w:rPr>
          <w:rFonts w:ascii="Times New Roman" w:hAnsi="Times New Roman"/>
          <w:sz w:val="26"/>
          <w:szCs w:val="26"/>
        </w:rPr>
        <w:t xml:space="preserve"> </w:t>
      </w:r>
      <w:bookmarkEnd w:id="7"/>
      <w:r>
        <w:rPr>
          <w:rFonts w:ascii="Times New Roman" w:hAnsi="Times New Roman"/>
          <w:b/>
          <w:sz w:val="26"/>
          <w:szCs w:val="26"/>
        </w:rPr>
        <w:t>/ЕИК 175239360/</w:t>
      </w:r>
      <w:r>
        <w:rPr>
          <w:rFonts w:ascii="Times New Roman" w:hAnsi="Times New Roman"/>
          <w:sz w:val="26"/>
          <w:szCs w:val="26"/>
        </w:rPr>
        <w:t xml:space="preserve"> </w:t>
      </w:r>
      <w:r>
        <w:rPr>
          <w:rFonts w:ascii="Times New Roman" w:hAnsi="Times New Roman"/>
          <w:b/>
          <w:sz w:val="26"/>
          <w:szCs w:val="26"/>
        </w:rPr>
        <w:t xml:space="preserve">(НАР) </w:t>
      </w:r>
      <w:r>
        <w:rPr>
          <w:rFonts w:ascii="Times New Roman" w:hAnsi="Times New Roman"/>
          <w:sz w:val="26"/>
          <w:szCs w:val="26"/>
        </w:rPr>
        <w:t>за анализирания период</w:t>
      </w:r>
      <w:r>
        <w:rPr>
          <w:rFonts w:ascii="Times New Roman" w:hAnsi="Times New Roman"/>
          <w:b/>
          <w:sz w:val="26"/>
          <w:szCs w:val="26"/>
        </w:rPr>
        <w:t xml:space="preserve"> </w:t>
      </w:r>
      <w:r>
        <w:rPr>
          <w:rFonts w:ascii="Times New Roman" w:hAnsi="Times New Roman"/>
          <w:sz w:val="26"/>
          <w:szCs w:val="26"/>
        </w:rPr>
        <w:t xml:space="preserve">е под едноличния </w:t>
      </w:r>
      <w:r>
        <w:rPr>
          <w:rFonts w:ascii="Times New Roman" w:hAnsi="Times New Roman"/>
          <w:sz w:val="26"/>
          <w:szCs w:val="26"/>
        </w:rPr>
        <w:t>контрол на „Карне-М“ ЕООД, София</w:t>
      </w:r>
      <w:r>
        <w:rPr>
          <w:rStyle w:val="FootnoteReference"/>
          <w:rFonts w:ascii="Times New Roman" w:hAnsi="Times New Roman"/>
          <w:sz w:val="26"/>
          <w:szCs w:val="26"/>
        </w:rPr>
        <w:footnoteReference w:id="18"/>
      </w:r>
      <w:r>
        <w:rPr>
          <w:rFonts w:ascii="Times New Roman" w:hAnsi="Times New Roman"/>
          <w:sz w:val="26"/>
          <w:szCs w:val="26"/>
        </w:rPr>
        <w:t>, считано от 19.06.2012г. Преди това капиталът на дружеството е бил разпределен между „Карне-М“ ЕООД (51%) и „НАР 1“ ЕООД (49 %).</w:t>
      </w:r>
      <w:r>
        <w:rPr>
          <w:rStyle w:val="FootnoteReference"/>
          <w:rFonts w:ascii="Times New Roman" w:hAnsi="Times New Roman"/>
          <w:sz w:val="26"/>
          <w:szCs w:val="26"/>
        </w:rPr>
        <w:footnoteReference w:id="19"/>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Дружеството извършва дистрибуция на едро и на дребно на печатни издания, както и абонамент, </w:t>
      </w:r>
      <w:r>
        <w:rPr>
          <w:rFonts w:ascii="Times New Roman" w:hAnsi="Times New Roman"/>
          <w:sz w:val="26"/>
          <w:szCs w:val="26"/>
        </w:rPr>
        <w:t>който формира дял под 1 %</w:t>
      </w:r>
      <w:r>
        <w:rPr>
          <w:rFonts w:ascii="Times New Roman" w:hAnsi="Times New Roman"/>
          <w:color w:val="FF0000"/>
          <w:sz w:val="26"/>
          <w:szCs w:val="26"/>
        </w:rPr>
        <w:t xml:space="preserve"> </w:t>
      </w:r>
      <w:r>
        <w:rPr>
          <w:rFonts w:ascii="Times New Roman" w:hAnsi="Times New Roman"/>
          <w:sz w:val="26"/>
          <w:szCs w:val="26"/>
        </w:rPr>
        <w:t>от общите му приходи. Въпреки изпратените напомнителни писма и искането на НАР ЕАД за удължаване на срока за  представяне на необходимата информация (упражняван контрол и принадлежност към Група; доставен и реализиран тираж по год</w:t>
      </w:r>
      <w:r>
        <w:rPr>
          <w:rFonts w:ascii="Times New Roman" w:hAnsi="Times New Roman"/>
          <w:sz w:val="26"/>
          <w:szCs w:val="26"/>
        </w:rPr>
        <w:t xml:space="preserve">ини и </w:t>
      </w:r>
      <w:r>
        <w:rPr>
          <w:rFonts w:ascii="Times New Roman" w:hAnsi="Times New Roman"/>
          <w:sz w:val="26"/>
          <w:szCs w:val="26"/>
        </w:rPr>
        <w:lastRenderedPageBreak/>
        <w:t>видове печатни издания; договори, брак, получавани/предоставяни ТО и др.), такава не бе получена от дружеството.</w:t>
      </w:r>
    </w:p>
    <w:p w:rsidR="00000000" w:rsidRDefault="003E498D">
      <w:pPr>
        <w:pStyle w:val="NoSpacing"/>
        <w:ind w:firstLine="708"/>
        <w:contextualSpacing/>
        <w:jc w:val="both"/>
        <w:rPr>
          <w:rFonts w:ascii="Times New Roman" w:hAnsi="Times New Roman"/>
          <w:sz w:val="26"/>
          <w:szCs w:val="26"/>
        </w:rPr>
      </w:pPr>
      <w:bookmarkStart w:id="8" w:name="_Toc340653763"/>
      <w:r>
        <w:rPr>
          <w:rFonts w:ascii="Times New Roman" w:hAnsi="Times New Roman"/>
          <w:sz w:val="26"/>
          <w:szCs w:val="26"/>
        </w:rPr>
        <w:t>„</w:t>
      </w:r>
      <w:r>
        <w:rPr>
          <w:rFonts w:ascii="Times New Roman" w:hAnsi="Times New Roman"/>
          <w:b/>
          <w:sz w:val="26"/>
          <w:szCs w:val="26"/>
        </w:rPr>
        <w:t>Прес” ЕООД</w:t>
      </w:r>
      <w:bookmarkEnd w:id="8"/>
      <w:r>
        <w:rPr>
          <w:rFonts w:ascii="Times New Roman" w:hAnsi="Times New Roman"/>
          <w:b/>
          <w:sz w:val="26"/>
          <w:szCs w:val="26"/>
        </w:rPr>
        <w:t>, Рудозем /ЕИК 812017570/</w:t>
      </w:r>
      <w:r>
        <w:rPr>
          <w:rFonts w:ascii="Times New Roman" w:hAnsi="Times New Roman"/>
          <w:sz w:val="26"/>
          <w:szCs w:val="26"/>
        </w:rPr>
        <w:t xml:space="preserve"> е под едноличния контрол на „Карне-М“ ЕООД, София, считано от 24.02.2011г. ( преди това собственици </w:t>
      </w:r>
      <w:r>
        <w:rPr>
          <w:rFonts w:ascii="Times New Roman" w:hAnsi="Times New Roman"/>
          <w:sz w:val="26"/>
          <w:szCs w:val="26"/>
        </w:rPr>
        <w:t>на капитала са били Георги Калоянов и Мария Петрова).</w:t>
      </w:r>
    </w:p>
    <w:p w:rsidR="00000000" w:rsidRDefault="003E498D">
      <w:pPr>
        <w:pStyle w:val="NoSpacing"/>
        <w:ind w:firstLine="708"/>
        <w:contextualSpacing/>
        <w:jc w:val="both"/>
        <w:rPr>
          <w:rFonts w:ascii="Times New Roman" w:hAnsi="Times New Roman"/>
          <w:color w:val="FF0000"/>
          <w:sz w:val="26"/>
          <w:szCs w:val="26"/>
        </w:rPr>
      </w:pPr>
      <w:r>
        <w:rPr>
          <w:rFonts w:ascii="Times New Roman" w:hAnsi="Times New Roman"/>
          <w:sz w:val="26"/>
          <w:szCs w:val="26"/>
        </w:rPr>
        <w:t xml:space="preserve">Дружеството закупува печатни издания от издатели и от други разпространители на едро и ги разпространява със собствен и нает транспорт по направленията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„Прес“ ЕООД разполага </w:t>
      </w:r>
      <w:r>
        <w:rPr>
          <w:rFonts w:ascii="Times New Roman" w:hAnsi="Times New Roman"/>
        </w:rPr>
        <w:t>(...)</w:t>
      </w:r>
      <w:r>
        <w:rPr>
          <w:rFonts w:ascii="Times New Roman" w:hAnsi="Times New Roman"/>
        </w:rPr>
        <w:sym w:font="Symbol" w:char="F02A"/>
      </w:r>
      <w:r>
        <w:rPr>
          <w:rFonts w:ascii="Times New Roman" w:hAnsi="Times New Roman"/>
          <w:sz w:val="26"/>
          <w:szCs w:val="26"/>
        </w:rPr>
        <w:t>, продава на н</w:t>
      </w:r>
      <w:r>
        <w:rPr>
          <w:rFonts w:ascii="Times New Roman" w:hAnsi="Times New Roman"/>
          <w:sz w:val="26"/>
          <w:szCs w:val="26"/>
        </w:rPr>
        <w:t xml:space="preserve">езависими дистрибутори на едро/дребно, но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 xml:space="preserve">.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Сред издателите, с които работи дружеството, са : </w:t>
      </w:r>
      <w:r>
        <w:rPr>
          <w:rFonts w:ascii="Times New Roman" w:hAnsi="Times New Roman"/>
        </w:rPr>
        <w:t>(...)</w:t>
      </w:r>
      <w:r>
        <w:rPr>
          <w:rFonts w:ascii="Times New Roman" w:hAnsi="Times New Roman"/>
        </w:rPr>
        <w:sym w:font="Symbol" w:char="F02A"/>
      </w:r>
      <w:r>
        <w:rPr>
          <w:rFonts w:ascii="Times New Roman" w:hAnsi="Times New Roman"/>
          <w:sz w:val="26"/>
          <w:szCs w:val="26"/>
        </w:rPr>
        <w:t>.</w:t>
      </w:r>
    </w:p>
    <w:p w:rsidR="00000000" w:rsidRDefault="003E498D">
      <w:pPr>
        <w:pStyle w:val="NoSpacing"/>
        <w:ind w:firstLine="708"/>
        <w:contextualSpacing/>
        <w:jc w:val="both"/>
        <w:rPr>
          <w:rFonts w:ascii="Times New Roman" w:hAnsi="Times New Roman"/>
          <w:spacing w:val="1"/>
          <w:sz w:val="26"/>
          <w:szCs w:val="26"/>
          <w:lang w:eastAsia="bg-BG"/>
        </w:rPr>
      </w:pPr>
      <w:r>
        <w:rPr>
          <w:rFonts w:ascii="Times New Roman" w:hAnsi="Times New Roman"/>
          <w:spacing w:val="1"/>
          <w:sz w:val="26"/>
          <w:szCs w:val="26"/>
          <w:lang w:eastAsia="bg-BG"/>
        </w:rPr>
        <w:t>Таблица № 11 съдържа данни само за реализирания от дружеството тираж общо и по видове национални вестници (ежедневници и седмичници).</w:t>
      </w:r>
      <w:r>
        <w:rPr>
          <w:rFonts w:ascii="Times New Roman" w:hAnsi="Times New Roman"/>
          <w:spacing w:val="1"/>
          <w:sz w:val="26"/>
          <w:szCs w:val="26"/>
          <w:lang w:eastAsia="bg-BG"/>
        </w:rPr>
        <w:tab/>
      </w:r>
    </w:p>
    <w:p w:rsidR="00000000" w:rsidRDefault="003E498D">
      <w:pPr>
        <w:pStyle w:val="NoSpacing"/>
        <w:ind w:left="6372"/>
        <w:contextualSpacing/>
        <w:jc w:val="right"/>
        <w:rPr>
          <w:rFonts w:ascii="Times New Roman" w:hAnsi="Times New Roman"/>
          <w:spacing w:val="1"/>
          <w:sz w:val="26"/>
          <w:szCs w:val="26"/>
          <w:lang w:eastAsia="bg-BG"/>
        </w:rPr>
      </w:pPr>
      <w:r>
        <w:rPr>
          <w:rFonts w:ascii="Times New Roman" w:hAnsi="Times New Roman"/>
          <w:spacing w:val="1"/>
          <w:sz w:val="26"/>
          <w:szCs w:val="26"/>
          <w:lang w:eastAsia="bg-BG"/>
        </w:rPr>
        <w:t>Таблица № 11</w:t>
      </w:r>
      <w:r>
        <w:rPr>
          <w:rFonts w:ascii="Times New Roman" w:hAnsi="Times New Roman"/>
          <w:kern w:val="16"/>
          <w:sz w:val="26"/>
          <w:szCs w:val="26"/>
          <w:lang w:eastAsia="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292"/>
        <w:gridCol w:w="1386"/>
        <w:gridCol w:w="1292"/>
        <w:gridCol w:w="1386"/>
        <w:gridCol w:w="1275"/>
        <w:gridCol w:w="1386"/>
      </w:tblGrid>
      <w:tr w:rsidR="00000000">
        <w:tc>
          <w:tcPr>
            <w:tcW w:w="1271" w:type="dxa"/>
            <w:vMerge w:val="restart"/>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Година</w:t>
            </w:r>
          </w:p>
        </w:tc>
        <w:tc>
          <w:tcPr>
            <w:tcW w:w="8017" w:type="dxa"/>
            <w:gridSpan w:val="6"/>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Национални вестници- тираж /бр./</w:t>
            </w:r>
          </w:p>
        </w:tc>
      </w:tr>
      <w:tr w:rsidR="00000000">
        <w:tc>
          <w:tcPr>
            <w:tcW w:w="1271" w:type="dxa"/>
            <w:vMerge/>
            <w:vAlign w:val="center"/>
          </w:tcPr>
          <w:p w:rsidR="00000000" w:rsidRDefault="003E498D">
            <w:pPr>
              <w:pStyle w:val="NoSpacing"/>
              <w:contextualSpacing/>
              <w:jc w:val="center"/>
              <w:rPr>
                <w:rFonts w:ascii="Times New Roman" w:hAnsi="Times New Roman"/>
                <w:spacing w:val="1"/>
              </w:rPr>
            </w:pPr>
          </w:p>
        </w:tc>
        <w:tc>
          <w:tcPr>
            <w:tcW w:w="2678" w:type="dxa"/>
            <w:gridSpan w:val="2"/>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общо</w:t>
            </w:r>
          </w:p>
        </w:tc>
        <w:tc>
          <w:tcPr>
            <w:tcW w:w="2678" w:type="dxa"/>
            <w:gridSpan w:val="2"/>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ежедневници</w:t>
            </w:r>
          </w:p>
        </w:tc>
        <w:tc>
          <w:tcPr>
            <w:tcW w:w="2661" w:type="dxa"/>
            <w:gridSpan w:val="2"/>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седмичници</w:t>
            </w:r>
          </w:p>
        </w:tc>
      </w:tr>
      <w:tr w:rsidR="00000000">
        <w:tc>
          <w:tcPr>
            <w:tcW w:w="1271" w:type="dxa"/>
            <w:vMerge/>
            <w:vAlign w:val="center"/>
          </w:tcPr>
          <w:p w:rsidR="00000000" w:rsidRDefault="003E498D">
            <w:pPr>
              <w:pStyle w:val="NoSpacing"/>
              <w:contextualSpacing/>
              <w:jc w:val="center"/>
              <w:rPr>
                <w:rFonts w:ascii="Times New Roman" w:hAnsi="Times New Roman"/>
                <w:spacing w:val="1"/>
              </w:rPr>
            </w:pPr>
          </w:p>
        </w:tc>
        <w:tc>
          <w:tcPr>
            <w:tcW w:w="1292" w:type="dxa"/>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доставен</w:t>
            </w:r>
          </w:p>
        </w:tc>
        <w:tc>
          <w:tcPr>
            <w:tcW w:w="1386" w:type="dxa"/>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реализиран</w:t>
            </w:r>
          </w:p>
        </w:tc>
        <w:tc>
          <w:tcPr>
            <w:tcW w:w="1292" w:type="dxa"/>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доставен</w:t>
            </w:r>
          </w:p>
        </w:tc>
        <w:tc>
          <w:tcPr>
            <w:tcW w:w="1386" w:type="dxa"/>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реализиран</w:t>
            </w:r>
          </w:p>
        </w:tc>
        <w:tc>
          <w:tcPr>
            <w:tcW w:w="1275" w:type="dxa"/>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доставен</w:t>
            </w:r>
          </w:p>
        </w:tc>
        <w:tc>
          <w:tcPr>
            <w:tcW w:w="1386" w:type="dxa"/>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реализиран</w:t>
            </w:r>
          </w:p>
        </w:tc>
      </w:tr>
      <w:tr w:rsidR="00000000">
        <w:tc>
          <w:tcPr>
            <w:tcW w:w="1271"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2009 г.</w:t>
            </w:r>
          </w:p>
        </w:tc>
        <w:tc>
          <w:tcPr>
            <w:tcW w:w="1292"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92"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75"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r w:rsidR="00000000">
        <w:tc>
          <w:tcPr>
            <w:tcW w:w="1271"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2010 г.</w:t>
            </w:r>
          </w:p>
        </w:tc>
        <w:tc>
          <w:tcPr>
            <w:tcW w:w="1292"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92"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75"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r w:rsidR="00000000">
        <w:tc>
          <w:tcPr>
            <w:tcW w:w="1271"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2011г.</w:t>
            </w:r>
          </w:p>
        </w:tc>
        <w:tc>
          <w:tcPr>
            <w:tcW w:w="1292"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t>...)</w:t>
            </w:r>
            <w:r>
              <w:rPr>
                <w:rFonts w:ascii="Times New Roman" w:hAnsi="Times New Roman"/>
                <w:sz w:val="22"/>
                <w:szCs w:val="22"/>
              </w:rPr>
              <w:sym w:font="Symbol" w:char="F02A"/>
            </w:r>
          </w:p>
        </w:tc>
        <w:tc>
          <w:tcPr>
            <w:tcW w:w="1292"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75"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bl>
    <w:p w:rsidR="00000000" w:rsidRDefault="003E498D">
      <w:pPr>
        <w:contextualSpacing/>
        <w:jc w:val="both"/>
        <w:rPr>
          <w:rFonts w:ascii="Times New Roman" w:hAnsi="Times New Roman"/>
          <w:bCs/>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bCs/>
          <w:sz w:val="26"/>
          <w:szCs w:val="26"/>
        </w:rPr>
        <w:t xml:space="preserve">За анализирания период най-голям дял в реализираните печатни издания имат националните </w:t>
      </w:r>
      <w:r>
        <w:rPr>
          <w:rFonts w:ascii="Times New Roman" w:hAnsi="Times New Roman"/>
          <w:bCs/>
          <w:i/>
          <w:sz w:val="26"/>
          <w:szCs w:val="26"/>
        </w:rPr>
        <w:t>седмичници</w:t>
      </w:r>
      <w:r>
        <w:rPr>
          <w:rFonts w:ascii="Times New Roman" w:hAnsi="Times New Roman"/>
          <w:b/>
          <w:bCs/>
          <w:i/>
          <w:sz w:val="26"/>
          <w:szCs w:val="26"/>
        </w:rPr>
        <w:t xml:space="preserve"> </w:t>
      </w:r>
      <w:r>
        <w:rPr>
          <w:rFonts w:ascii="Times New Roman" w:hAnsi="Times New Roman"/>
          <w:b/>
          <w:bCs/>
          <w:sz w:val="26"/>
          <w:szCs w:val="26"/>
        </w:rPr>
        <w:t xml:space="preserve">– 81% (2009г.);  72% (2010г.); 57% (2011г.), </w:t>
      </w:r>
      <w:r>
        <w:rPr>
          <w:rFonts w:ascii="Times New Roman" w:hAnsi="Times New Roman"/>
          <w:sz w:val="26"/>
          <w:szCs w:val="26"/>
        </w:rPr>
        <w:t xml:space="preserve">а в структурата на реализираните периодични издания </w:t>
      </w:r>
      <w:r>
        <w:rPr>
          <w:rFonts w:ascii="Times New Roman" w:hAnsi="Times New Roman"/>
          <w:i/>
          <w:sz w:val="26"/>
          <w:szCs w:val="26"/>
        </w:rPr>
        <w:t>националните вестници</w:t>
      </w:r>
      <w:r>
        <w:rPr>
          <w:rFonts w:ascii="Times New Roman" w:hAnsi="Times New Roman"/>
          <w:sz w:val="26"/>
          <w:szCs w:val="26"/>
        </w:rPr>
        <w:t xml:space="preserve"> /еж</w:t>
      </w:r>
      <w:r>
        <w:rPr>
          <w:rFonts w:ascii="Times New Roman" w:hAnsi="Times New Roman"/>
          <w:sz w:val="26"/>
          <w:szCs w:val="26"/>
        </w:rPr>
        <w:t>едневници и седмичници/ формират 91%/2009г./, 86%/2010г./, 83%/2011г./</w:t>
      </w:r>
      <w:r>
        <w:rPr>
          <w:rStyle w:val="FootnoteReference"/>
          <w:rFonts w:ascii="Times New Roman" w:hAnsi="Times New Roman"/>
          <w:sz w:val="26"/>
          <w:szCs w:val="26"/>
        </w:rPr>
        <w:footnoteReference w:id="20"/>
      </w:r>
      <w:r>
        <w:rPr>
          <w:rFonts w:ascii="Times New Roman" w:hAnsi="Times New Roman"/>
          <w:sz w:val="26"/>
          <w:szCs w:val="26"/>
        </w:rPr>
        <w:t xml:space="preserve">. </w:t>
      </w:r>
    </w:p>
    <w:p w:rsidR="00000000" w:rsidRDefault="003E498D">
      <w:pPr>
        <w:ind w:firstLine="708"/>
        <w:contextualSpacing/>
        <w:jc w:val="both"/>
        <w:rPr>
          <w:rFonts w:ascii="Times New Roman" w:hAnsi="Times New Roman"/>
          <w:b/>
          <w:sz w:val="26"/>
          <w:szCs w:val="26"/>
        </w:rPr>
      </w:pPr>
      <w:r>
        <w:rPr>
          <w:rFonts w:ascii="Times New Roman" w:hAnsi="Times New Roman"/>
          <w:sz w:val="26"/>
          <w:szCs w:val="26"/>
        </w:rPr>
        <w:t xml:space="preserve">За анализирания период е налице намаление общо на реализирания тираж, като същото достига до 45 % през 2011 г., спрямо 2009 г. </w:t>
      </w:r>
    </w:p>
    <w:p w:rsidR="00000000" w:rsidRDefault="003E498D">
      <w:pPr>
        <w:pStyle w:val="NoSpacing"/>
        <w:ind w:firstLine="708"/>
        <w:contextualSpacing/>
        <w:jc w:val="both"/>
        <w:rPr>
          <w:rFonts w:ascii="Times New Roman" w:hAnsi="Times New Roman"/>
          <w:sz w:val="26"/>
          <w:szCs w:val="26"/>
        </w:rPr>
      </w:pPr>
      <w:bookmarkStart w:id="9" w:name="_Toc340653764"/>
      <w:r>
        <w:rPr>
          <w:rFonts w:ascii="Times New Roman" w:hAnsi="Times New Roman"/>
          <w:b/>
          <w:sz w:val="26"/>
          <w:szCs w:val="26"/>
        </w:rPr>
        <w:t>„Прес 2000” ЕООД</w:t>
      </w:r>
      <w:bookmarkEnd w:id="9"/>
      <w:r>
        <w:rPr>
          <w:rFonts w:ascii="Times New Roman" w:hAnsi="Times New Roman"/>
          <w:b/>
          <w:sz w:val="26"/>
          <w:szCs w:val="26"/>
        </w:rPr>
        <w:t xml:space="preserve">, Пловдив  /ЕИК 115633906/ </w:t>
      </w:r>
      <w:r>
        <w:rPr>
          <w:rFonts w:ascii="Times New Roman" w:hAnsi="Times New Roman"/>
          <w:sz w:val="26"/>
          <w:szCs w:val="26"/>
        </w:rPr>
        <w:t>е под еднол</w:t>
      </w:r>
      <w:r>
        <w:rPr>
          <w:rFonts w:ascii="Times New Roman" w:hAnsi="Times New Roman"/>
          <w:sz w:val="26"/>
          <w:szCs w:val="26"/>
        </w:rPr>
        <w:t>ичния контрол на „Карне-М“ ЕООД, София, считано от 23.03.2011г. (преди е било под съвместния контрол на „Прес“ ООД и Мирослав Дачев).</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 По данни на дружеството същото е на пазара на разпространение на печатни издания от 12 години. Закупува изданията от изда</w:t>
      </w:r>
      <w:r>
        <w:rPr>
          <w:rFonts w:ascii="Times New Roman" w:hAnsi="Times New Roman"/>
          <w:sz w:val="26"/>
          <w:szCs w:val="26"/>
        </w:rPr>
        <w:t xml:space="preserve">телите или техните разпространители и ги продава на търговци на едро и на дребно от цялата страна. </w:t>
      </w:r>
    </w:p>
    <w:p w:rsidR="00000000" w:rsidRDefault="003E498D">
      <w:pPr>
        <w:pStyle w:val="NoSpacing"/>
        <w:ind w:firstLine="708"/>
        <w:contextualSpacing/>
        <w:jc w:val="both"/>
        <w:rPr>
          <w:rFonts w:ascii="Times New Roman" w:hAnsi="Times New Roman"/>
          <w:color w:val="FF0000"/>
          <w:sz w:val="26"/>
          <w:szCs w:val="26"/>
        </w:rPr>
      </w:pPr>
      <w:r>
        <w:rPr>
          <w:rFonts w:ascii="Times New Roman" w:hAnsi="Times New Roman"/>
          <w:sz w:val="26"/>
          <w:szCs w:val="26"/>
        </w:rPr>
        <w:t xml:space="preserve">Направленията, по които разпространява печатните издания са: </w:t>
      </w:r>
      <w:r>
        <w:rPr>
          <w:rFonts w:ascii="Times New Roman" w:hAnsi="Times New Roman"/>
        </w:rPr>
        <w:t>(...)</w:t>
      </w:r>
      <w:r>
        <w:rPr>
          <w:rFonts w:ascii="Times New Roman" w:hAnsi="Times New Roman"/>
        </w:rPr>
        <w:sym w:font="Symbol" w:char="F02A"/>
      </w:r>
      <w:r>
        <w:rPr>
          <w:rStyle w:val="FootnoteReference"/>
          <w:rFonts w:ascii="Times New Roman" w:hAnsi="Times New Roman"/>
          <w:sz w:val="26"/>
          <w:szCs w:val="26"/>
        </w:rPr>
        <w:footnoteReference w:id="21"/>
      </w:r>
      <w:r>
        <w:rPr>
          <w:rFonts w:ascii="Times New Roman" w:hAnsi="Times New Roman"/>
          <w:sz w:val="26"/>
          <w:szCs w:val="26"/>
        </w:rPr>
        <w:t xml:space="preserve">. Основни конкуренти по тези направления са: „Оларт“ ЕООД, „Агенция Стрела“ ЕООД, „НАР“ </w:t>
      </w:r>
      <w:r>
        <w:rPr>
          <w:rFonts w:ascii="Times New Roman" w:hAnsi="Times New Roman"/>
          <w:sz w:val="26"/>
          <w:szCs w:val="26"/>
        </w:rPr>
        <w:t xml:space="preserve">ЕАД, „Братя Герини-Прес“ ЕООД, „Прес“ ЕООД. Дружеството работи основно (около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с фирми - местни разпространители. За анализирания период експлоатира общо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наети обекти за продажба на вестници и списания в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За разглеждания период има про</w:t>
      </w:r>
      <w:r>
        <w:rPr>
          <w:rFonts w:ascii="Times New Roman" w:hAnsi="Times New Roman"/>
          <w:sz w:val="26"/>
          <w:szCs w:val="26"/>
        </w:rPr>
        <w:t xml:space="preserve">мяна както при </w:t>
      </w:r>
      <w:r>
        <w:rPr>
          <w:rFonts w:ascii="Times New Roman" w:hAnsi="Times New Roman"/>
          <w:i/>
          <w:sz w:val="26"/>
          <w:szCs w:val="26"/>
        </w:rPr>
        <w:t xml:space="preserve">доставчиците </w:t>
      </w:r>
      <w:r>
        <w:rPr>
          <w:rFonts w:ascii="Times New Roman" w:hAnsi="Times New Roman"/>
          <w:sz w:val="26"/>
          <w:szCs w:val="26"/>
        </w:rPr>
        <w:t>на дружеството</w:t>
      </w:r>
      <w:r>
        <w:rPr>
          <w:rFonts w:ascii="Times New Roman" w:hAnsi="Times New Roman"/>
          <w:i/>
          <w:sz w:val="26"/>
          <w:szCs w:val="26"/>
        </w:rPr>
        <w:t>,</w:t>
      </w:r>
      <w:r>
        <w:rPr>
          <w:rFonts w:ascii="Times New Roman" w:hAnsi="Times New Roman"/>
          <w:sz w:val="26"/>
          <w:szCs w:val="26"/>
        </w:rPr>
        <w:t xml:space="preserve"> напр.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така при </w:t>
      </w:r>
      <w:r>
        <w:rPr>
          <w:rFonts w:ascii="Times New Roman" w:hAnsi="Times New Roman"/>
          <w:i/>
          <w:sz w:val="26"/>
          <w:szCs w:val="26"/>
        </w:rPr>
        <w:t>клиентите,</w:t>
      </w:r>
      <w:r>
        <w:rPr>
          <w:rFonts w:ascii="Times New Roman" w:hAnsi="Times New Roman"/>
          <w:sz w:val="26"/>
          <w:szCs w:val="26"/>
        </w:rPr>
        <w:t xml:space="preserve"> напр. </w:t>
      </w:r>
      <w:r>
        <w:rPr>
          <w:rFonts w:ascii="Times New Roman" w:hAnsi="Times New Roman"/>
        </w:rPr>
        <w:t>(...)</w:t>
      </w:r>
      <w:r>
        <w:rPr>
          <w:rFonts w:ascii="Times New Roman" w:hAnsi="Times New Roman"/>
        </w:rPr>
        <w:sym w:font="Symbol" w:char="F02A"/>
      </w:r>
      <w:r>
        <w:rPr>
          <w:rFonts w:ascii="Times New Roman" w:hAnsi="Times New Roman"/>
          <w:sz w:val="26"/>
          <w:szCs w:val="26"/>
        </w:rPr>
        <w:t>. Таблица № 12 дава информация за доставения и реализиран тираж национални вестници (общо и поотделно за ежедневници и седмичници).</w:t>
      </w:r>
    </w:p>
    <w:p w:rsidR="00000000" w:rsidRDefault="003E498D">
      <w:pPr>
        <w:pStyle w:val="NoSpacing"/>
        <w:contextualSpacing/>
        <w:jc w:val="right"/>
        <w:rPr>
          <w:rFonts w:ascii="Times New Roman" w:hAnsi="Times New Roman"/>
          <w:spacing w:val="1"/>
          <w:sz w:val="26"/>
          <w:szCs w:val="26"/>
          <w:lang w:eastAsia="bg-BG"/>
        </w:rPr>
      </w:pPr>
      <w:r>
        <w:rPr>
          <w:rFonts w:ascii="Times New Roman" w:hAnsi="Times New Roman"/>
          <w:spacing w:val="1"/>
          <w:sz w:val="26"/>
          <w:szCs w:val="26"/>
          <w:lang w:eastAsia="bg-BG"/>
        </w:rPr>
        <w:t>Таблица № 12</w:t>
      </w:r>
      <w:r>
        <w:rPr>
          <w:rFonts w:ascii="Times New Roman" w:hAnsi="Times New Roman"/>
          <w:kern w:val="16"/>
          <w:sz w:val="26"/>
          <w:szCs w:val="26"/>
          <w:lang w:eastAsia="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417"/>
        <w:gridCol w:w="1418"/>
        <w:gridCol w:w="1305"/>
        <w:gridCol w:w="1386"/>
        <w:gridCol w:w="1275"/>
        <w:gridCol w:w="1386"/>
      </w:tblGrid>
      <w:tr w:rsidR="00000000">
        <w:tc>
          <w:tcPr>
            <w:tcW w:w="1101" w:type="dxa"/>
            <w:vMerge w:val="restart"/>
          </w:tcPr>
          <w:p w:rsidR="00000000" w:rsidRDefault="003E498D">
            <w:pPr>
              <w:pStyle w:val="NoSpacing"/>
              <w:contextualSpacing/>
              <w:jc w:val="both"/>
              <w:rPr>
                <w:rFonts w:ascii="Times New Roman" w:hAnsi="Times New Roman"/>
                <w:spacing w:val="1"/>
              </w:rPr>
            </w:pPr>
            <w:r>
              <w:rPr>
                <w:rFonts w:ascii="Times New Roman" w:hAnsi="Times New Roman"/>
                <w:spacing w:val="1"/>
              </w:rPr>
              <w:lastRenderedPageBreak/>
              <w:t>Година</w:t>
            </w:r>
          </w:p>
        </w:tc>
        <w:tc>
          <w:tcPr>
            <w:tcW w:w="8187" w:type="dxa"/>
            <w:gridSpan w:val="6"/>
          </w:tcPr>
          <w:p w:rsidR="00000000" w:rsidRDefault="003E498D">
            <w:pPr>
              <w:pStyle w:val="NoSpacing"/>
              <w:contextualSpacing/>
              <w:jc w:val="center"/>
              <w:rPr>
                <w:rFonts w:ascii="Times New Roman" w:hAnsi="Times New Roman"/>
                <w:spacing w:val="1"/>
              </w:rPr>
            </w:pPr>
            <w:r>
              <w:rPr>
                <w:rFonts w:ascii="Times New Roman" w:hAnsi="Times New Roman"/>
                <w:spacing w:val="1"/>
              </w:rPr>
              <w:t>Националн</w:t>
            </w:r>
            <w:r>
              <w:rPr>
                <w:rFonts w:ascii="Times New Roman" w:hAnsi="Times New Roman"/>
                <w:spacing w:val="1"/>
              </w:rPr>
              <w:t>и вестници- тираж /бр./</w:t>
            </w:r>
          </w:p>
        </w:tc>
      </w:tr>
      <w:tr w:rsidR="00000000">
        <w:tc>
          <w:tcPr>
            <w:tcW w:w="1101" w:type="dxa"/>
            <w:vMerge/>
          </w:tcPr>
          <w:p w:rsidR="00000000" w:rsidRDefault="003E498D">
            <w:pPr>
              <w:pStyle w:val="NoSpacing"/>
              <w:contextualSpacing/>
              <w:jc w:val="both"/>
              <w:rPr>
                <w:rFonts w:ascii="Times New Roman" w:hAnsi="Times New Roman"/>
                <w:spacing w:val="1"/>
              </w:rPr>
            </w:pPr>
          </w:p>
        </w:tc>
        <w:tc>
          <w:tcPr>
            <w:tcW w:w="2835" w:type="dxa"/>
            <w:gridSpan w:val="2"/>
          </w:tcPr>
          <w:p w:rsidR="00000000" w:rsidRDefault="003E498D">
            <w:pPr>
              <w:pStyle w:val="NoSpacing"/>
              <w:contextualSpacing/>
              <w:jc w:val="center"/>
              <w:rPr>
                <w:rFonts w:ascii="Times New Roman" w:hAnsi="Times New Roman"/>
                <w:spacing w:val="1"/>
              </w:rPr>
            </w:pPr>
            <w:r>
              <w:rPr>
                <w:rFonts w:ascii="Times New Roman" w:hAnsi="Times New Roman"/>
                <w:spacing w:val="1"/>
              </w:rPr>
              <w:t>общо</w:t>
            </w:r>
          </w:p>
        </w:tc>
        <w:tc>
          <w:tcPr>
            <w:tcW w:w="2691" w:type="dxa"/>
            <w:gridSpan w:val="2"/>
          </w:tcPr>
          <w:p w:rsidR="00000000" w:rsidRDefault="003E498D">
            <w:pPr>
              <w:pStyle w:val="NoSpacing"/>
              <w:contextualSpacing/>
              <w:jc w:val="center"/>
              <w:rPr>
                <w:rFonts w:ascii="Times New Roman" w:hAnsi="Times New Roman"/>
                <w:spacing w:val="1"/>
              </w:rPr>
            </w:pPr>
            <w:r>
              <w:rPr>
                <w:rFonts w:ascii="Times New Roman" w:hAnsi="Times New Roman"/>
                <w:spacing w:val="1"/>
              </w:rPr>
              <w:t>ежедневници</w:t>
            </w:r>
          </w:p>
        </w:tc>
        <w:tc>
          <w:tcPr>
            <w:tcW w:w="2661" w:type="dxa"/>
            <w:gridSpan w:val="2"/>
          </w:tcPr>
          <w:p w:rsidR="00000000" w:rsidRDefault="003E498D">
            <w:pPr>
              <w:pStyle w:val="NoSpacing"/>
              <w:contextualSpacing/>
              <w:jc w:val="center"/>
              <w:rPr>
                <w:rFonts w:ascii="Times New Roman" w:hAnsi="Times New Roman"/>
                <w:spacing w:val="1"/>
              </w:rPr>
            </w:pPr>
            <w:r>
              <w:rPr>
                <w:rFonts w:ascii="Times New Roman" w:hAnsi="Times New Roman"/>
                <w:spacing w:val="1"/>
              </w:rPr>
              <w:t>седмичници</w:t>
            </w:r>
          </w:p>
        </w:tc>
      </w:tr>
      <w:tr w:rsidR="00000000">
        <w:tc>
          <w:tcPr>
            <w:tcW w:w="1101" w:type="dxa"/>
            <w:vMerge/>
          </w:tcPr>
          <w:p w:rsidR="00000000" w:rsidRDefault="003E498D">
            <w:pPr>
              <w:pStyle w:val="NoSpacing"/>
              <w:contextualSpacing/>
              <w:jc w:val="both"/>
              <w:rPr>
                <w:rFonts w:ascii="Times New Roman" w:hAnsi="Times New Roman"/>
                <w:spacing w:val="1"/>
              </w:rPr>
            </w:pPr>
          </w:p>
        </w:tc>
        <w:tc>
          <w:tcPr>
            <w:tcW w:w="1417"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доставен</w:t>
            </w:r>
          </w:p>
        </w:tc>
        <w:tc>
          <w:tcPr>
            <w:tcW w:w="1418"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реализиран</w:t>
            </w:r>
          </w:p>
        </w:tc>
        <w:tc>
          <w:tcPr>
            <w:tcW w:w="1305"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доставен</w:t>
            </w:r>
          </w:p>
        </w:tc>
        <w:tc>
          <w:tcPr>
            <w:tcW w:w="1386"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реализиран</w:t>
            </w:r>
          </w:p>
        </w:tc>
        <w:tc>
          <w:tcPr>
            <w:tcW w:w="1275"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доставен</w:t>
            </w:r>
          </w:p>
        </w:tc>
        <w:tc>
          <w:tcPr>
            <w:tcW w:w="1386"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реализиран</w:t>
            </w:r>
          </w:p>
        </w:tc>
      </w:tr>
      <w:tr w:rsidR="00000000">
        <w:tc>
          <w:tcPr>
            <w:tcW w:w="1101"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2009г.</w:t>
            </w:r>
          </w:p>
        </w:tc>
        <w:tc>
          <w:tcPr>
            <w:tcW w:w="1417"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18"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05"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75"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r w:rsidR="00000000">
        <w:tc>
          <w:tcPr>
            <w:tcW w:w="1101"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2010г.</w:t>
            </w:r>
          </w:p>
        </w:tc>
        <w:tc>
          <w:tcPr>
            <w:tcW w:w="1417"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18"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05"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75"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r w:rsidR="00000000">
        <w:tc>
          <w:tcPr>
            <w:tcW w:w="1101"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2011г.</w:t>
            </w:r>
          </w:p>
        </w:tc>
        <w:tc>
          <w:tcPr>
            <w:tcW w:w="1417"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18"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05"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75" w:type="dxa"/>
          </w:tcPr>
          <w:p w:rsidR="00000000" w:rsidRDefault="003E498D">
            <w:pPr>
              <w:jc w:val="center"/>
            </w:pPr>
            <w:r>
              <w:rPr>
                <w:rFonts w:ascii="Times New Roman" w:hAnsi="Times New Roman"/>
                <w:sz w:val="22"/>
                <w:szCs w:val="22"/>
              </w:rPr>
              <w:t>(...</w:t>
            </w:r>
            <w:r>
              <w:rPr>
                <w:rFonts w:ascii="Times New Roman" w:hAnsi="Times New Roman"/>
                <w:sz w:val="22"/>
                <w:szCs w:val="22"/>
              </w:rPr>
              <w:t>)</w:t>
            </w:r>
            <w:r>
              <w:rPr>
                <w:rFonts w:ascii="Times New Roman" w:hAnsi="Times New Roman"/>
                <w:sz w:val="22"/>
                <w:szCs w:val="22"/>
              </w:rPr>
              <w:sym w:font="Symbol" w:char="F02A"/>
            </w:r>
          </w:p>
        </w:tc>
        <w:tc>
          <w:tcPr>
            <w:tcW w:w="13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bl>
    <w:p w:rsidR="00000000" w:rsidRDefault="003E498D">
      <w:pPr>
        <w:contextualSpacing/>
        <w:jc w:val="both"/>
        <w:rPr>
          <w:rFonts w:ascii="Times New Roman" w:hAnsi="Times New Roman"/>
          <w:bCs/>
          <w:color w:val="4F81BD"/>
          <w:sz w:val="26"/>
          <w:szCs w:val="26"/>
        </w:rPr>
      </w:pPr>
    </w:p>
    <w:p w:rsidR="00000000" w:rsidRDefault="003E498D">
      <w:pPr>
        <w:pStyle w:val="NoSpacing"/>
        <w:ind w:firstLine="708"/>
        <w:contextualSpacing/>
        <w:jc w:val="both"/>
        <w:rPr>
          <w:rFonts w:ascii="Times New Roman" w:hAnsi="Times New Roman"/>
          <w:spacing w:val="1"/>
          <w:sz w:val="26"/>
          <w:szCs w:val="26"/>
          <w:lang w:eastAsia="bg-BG"/>
        </w:rPr>
      </w:pPr>
      <w:r>
        <w:rPr>
          <w:rFonts w:ascii="Times New Roman" w:hAnsi="Times New Roman"/>
          <w:sz w:val="26"/>
          <w:szCs w:val="26"/>
        </w:rPr>
        <w:t>От доставения тираж най-голям дял имат националните ежедневници, които формират 65-68 % спрямо общо доставения тираж. Данните показват несъществено намаляване на реализирания тираж за периода. Няма информация за реализирани от дружеството списа</w:t>
      </w:r>
      <w:r>
        <w:rPr>
          <w:rFonts w:ascii="Times New Roman" w:hAnsi="Times New Roman"/>
          <w:sz w:val="26"/>
          <w:szCs w:val="26"/>
        </w:rPr>
        <w:t xml:space="preserve">ния и регионални вестници. </w:t>
      </w:r>
    </w:p>
    <w:p w:rsidR="00000000" w:rsidRDefault="003E498D">
      <w:pPr>
        <w:pStyle w:val="NoSpacing"/>
        <w:contextualSpacing/>
        <w:jc w:val="both"/>
        <w:rPr>
          <w:rFonts w:ascii="Times New Roman" w:hAnsi="Times New Roman"/>
          <w:b/>
          <w:sz w:val="26"/>
          <w:szCs w:val="26"/>
        </w:rPr>
      </w:pPr>
    </w:p>
    <w:p w:rsidR="00000000" w:rsidRDefault="003E498D">
      <w:pPr>
        <w:pStyle w:val="NoSpacing"/>
        <w:ind w:firstLine="708"/>
        <w:contextualSpacing/>
        <w:jc w:val="both"/>
        <w:rPr>
          <w:rFonts w:ascii="Times New Roman" w:hAnsi="Times New Roman"/>
          <w:b/>
          <w:sz w:val="26"/>
          <w:szCs w:val="26"/>
        </w:rPr>
      </w:pPr>
      <w:r>
        <w:rPr>
          <w:rFonts w:ascii="Times New Roman" w:hAnsi="Times New Roman"/>
          <w:b/>
          <w:sz w:val="26"/>
          <w:szCs w:val="26"/>
        </w:rPr>
        <w:t>Сенатор/Оларт</w:t>
      </w:r>
    </w:p>
    <w:p w:rsidR="00000000" w:rsidRDefault="003E498D">
      <w:pPr>
        <w:pStyle w:val="NoSpacing"/>
        <w:ind w:firstLine="708"/>
        <w:contextualSpacing/>
        <w:jc w:val="both"/>
        <w:rPr>
          <w:rFonts w:ascii="Times New Roman" w:hAnsi="Times New Roman"/>
          <w:sz w:val="26"/>
          <w:szCs w:val="26"/>
        </w:rPr>
      </w:pPr>
      <w:bookmarkStart w:id="10" w:name="_Toc340653765"/>
      <w:r>
        <w:rPr>
          <w:rFonts w:ascii="Times New Roman" w:hAnsi="Times New Roman"/>
          <w:sz w:val="26"/>
          <w:szCs w:val="26"/>
        </w:rPr>
        <w:t>„</w:t>
      </w:r>
      <w:r>
        <w:rPr>
          <w:rFonts w:ascii="Times New Roman" w:hAnsi="Times New Roman"/>
          <w:b/>
          <w:sz w:val="26"/>
          <w:szCs w:val="26"/>
        </w:rPr>
        <w:t>Сенатор” ООД</w:t>
      </w:r>
      <w:bookmarkEnd w:id="10"/>
      <w:r>
        <w:rPr>
          <w:rFonts w:ascii="Times New Roman" w:hAnsi="Times New Roman"/>
          <w:b/>
          <w:sz w:val="26"/>
          <w:szCs w:val="26"/>
        </w:rPr>
        <w:t>, Бургас /ЕИК 040670236/</w:t>
      </w:r>
      <w:r>
        <w:rPr>
          <w:rFonts w:ascii="Times New Roman" w:hAnsi="Times New Roman"/>
          <w:sz w:val="26"/>
          <w:szCs w:val="26"/>
        </w:rPr>
        <w:t xml:space="preserve"> е създадено през 1991г. с основен предмет на дейност продажба на вестници и списания. Съгласно представен отговор (вх. № към КЗК-1210/17.09.12 г.) дружеството е под съвместния</w:t>
      </w:r>
      <w:r>
        <w:rPr>
          <w:rFonts w:ascii="Times New Roman" w:hAnsi="Times New Roman"/>
          <w:sz w:val="26"/>
          <w:szCs w:val="26"/>
        </w:rPr>
        <w:t xml:space="preserve"> контрол на Цветан Ангелов и Цветан Костадинов, които /съвместно, поотделно и с трети лица/ в периода 1991-2009г. са регистрирали и други дружества, активни в този сектор. „Сенатор” ООД</w:t>
      </w:r>
      <w:r>
        <w:rPr>
          <w:rFonts w:ascii="Times New Roman" w:hAnsi="Times New Roman"/>
          <w:b/>
          <w:sz w:val="26"/>
          <w:szCs w:val="26"/>
        </w:rPr>
        <w:t xml:space="preserve"> </w:t>
      </w:r>
      <w:r>
        <w:rPr>
          <w:rFonts w:ascii="Times New Roman" w:hAnsi="Times New Roman"/>
          <w:sz w:val="26"/>
          <w:szCs w:val="26"/>
        </w:rPr>
        <w:t>има дялово участие в капитала на следните дружества: „Оларт” ЕООД, Соф</w:t>
      </w:r>
      <w:r>
        <w:rPr>
          <w:rFonts w:ascii="Times New Roman" w:hAnsi="Times New Roman"/>
          <w:sz w:val="26"/>
          <w:szCs w:val="26"/>
        </w:rPr>
        <w:t xml:space="preserve">ия (100%, придобит на 10.11.2009г.) „Нюз Експрес” ЕООД, Ботевград (100%, придобит на 15.07.2011г.) – разпространява периодичен печат за Ботевград, Правец, Етрополе; Национална дистрибуция ООД (25%-придобит на 15.01.2010г., а заедно с Цветан Ангелов - общо </w:t>
      </w:r>
      <w:r>
        <w:rPr>
          <w:rFonts w:ascii="Times New Roman" w:hAnsi="Times New Roman"/>
          <w:sz w:val="26"/>
          <w:szCs w:val="26"/>
        </w:rPr>
        <w:t>50%)</w:t>
      </w:r>
      <w:r>
        <w:rPr>
          <w:rStyle w:val="FootnoteReference"/>
          <w:rFonts w:ascii="Times New Roman" w:hAnsi="Times New Roman"/>
          <w:sz w:val="26"/>
          <w:szCs w:val="26"/>
        </w:rPr>
        <w:footnoteReference w:id="22"/>
      </w:r>
      <w:r>
        <w:rPr>
          <w:rFonts w:ascii="Times New Roman" w:hAnsi="Times New Roman"/>
          <w:sz w:val="26"/>
          <w:szCs w:val="26"/>
        </w:rPr>
        <w:t>.</w:t>
      </w:r>
    </w:p>
    <w:p w:rsidR="00000000" w:rsidRDefault="003E498D">
      <w:pPr>
        <w:pStyle w:val="NoSpacing"/>
        <w:ind w:firstLine="708"/>
        <w:contextualSpacing/>
        <w:jc w:val="both"/>
        <w:rPr>
          <w:rFonts w:ascii="Times New Roman" w:hAnsi="Times New Roman"/>
          <w:sz w:val="26"/>
          <w:szCs w:val="26"/>
        </w:rPr>
      </w:pPr>
      <w:bookmarkStart w:id="11" w:name="_Toc340542899"/>
      <w:r>
        <w:rPr>
          <w:rFonts w:ascii="Times New Roman" w:eastAsia="Times New Roman" w:hAnsi="Times New Roman"/>
          <w:bCs/>
          <w:sz w:val="26"/>
          <w:szCs w:val="26"/>
        </w:rPr>
        <w:t>За анализирания период „</w:t>
      </w:r>
      <w:r>
        <w:rPr>
          <w:rFonts w:ascii="Times New Roman" w:eastAsia="Times New Roman" w:hAnsi="Times New Roman"/>
          <w:b/>
          <w:bCs/>
          <w:sz w:val="26"/>
          <w:szCs w:val="26"/>
        </w:rPr>
        <w:t>Оларт” ЕООД</w:t>
      </w:r>
      <w:bookmarkEnd w:id="11"/>
      <w:r>
        <w:rPr>
          <w:rFonts w:ascii="Times New Roman" w:hAnsi="Times New Roman"/>
          <w:sz w:val="26"/>
          <w:szCs w:val="26"/>
        </w:rPr>
        <w:t>, София /ЕИК 831235157/ упражнява едноличен/съвместен контрол върху 3 регионални издатели на вестници –  „Черноморски фар“ ЕООД (100% от капитала, придобит на 18.02.2010г.; издател в Бургаска област - в. Черноморск</w:t>
      </w:r>
      <w:r>
        <w:rPr>
          <w:rFonts w:ascii="Times New Roman" w:hAnsi="Times New Roman"/>
          <w:sz w:val="26"/>
          <w:szCs w:val="26"/>
        </w:rPr>
        <w:t xml:space="preserve">и фар); „Конкурент Нюз“ ООД (50% от капитала, придобит на 25.06.2010г.; издател във Враца-в.Конкурент); ИК „Родопи“ ООД (50% от капитала, придобит на 28.03.2011г., издател в област Кърджали).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„Оларт“ ЕООД </w:t>
      </w:r>
      <w:r>
        <w:rPr>
          <w:rFonts w:ascii="Times New Roman" w:hAnsi="Times New Roman"/>
          <w:b/>
          <w:sz w:val="26"/>
          <w:szCs w:val="26"/>
        </w:rPr>
        <w:t>з</w:t>
      </w:r>
      <w:r>
        <w:rPr>
          <w:rFonts w:ascii="Times New Roman" w:hAnsi="Times New Roman"/>
          <w:sz w:val="26"/>
          <w:szCs w:val="26"/>
        </w:rPr>
        <w:t>акупува печатни издания от издатели, техни упълн</w:t>
      </w:r>
      <w:r>
        <w:rPr>
          <w:rFonts w:ascii="Times New Roman" w:hAnsi="Times New Roman"/>
          <w:sz w:val="26"/>
          <w:szCs w:val="26"/>
        </w:rPr>
        <w:t>омощени представители или търговци на едро.</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 „Сенатор” ООД декларира, че продава както чрез собствени/наети крайни пунктове за продажба, така и на други търговци, а доставката се извършва с транспорт на дружеството.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Двете дружества разпространяват национа</w:t>
      </w:r>
      <w:r>
        <w:rPr>
          <w:rFonts w:ascii="Times New Roman" w:hAnsi="Times New Roman"/>
          <w:sz w:val="26"/>
          <w:szCs w:val="26"/>
        </w:rPr>
        <w:t xml:space="preserve">лните вестници, списания и регионалните издания в регионите, описани подробно в Раздел ІV, т.4.3 от анализа.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 зависимост от договореностите изданията се доставят в централния склад на „Сенатор“ ООД от доставчиците или се получават от печатниците/складове</w:t>
      </w:r>
      <w:r>
        <w:rPr>
          <w:rFonts w:ascii="Times New Roman" w:hAnsi="Times New Roman"/>
          <w:sz w:val="26"/>
          <w:szCs w:val="26"/>
        </w:rPr>
        <w:t xml:space="preserve">те им и се транспортират до централния склад на Групата в София със собствен транспорт, откъдето  се разпределят и транспортират до клиентите, офисите и крайните пунктове.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lastRenderedPageBreak/>
        <w:t xml:space="preserve">До м. юни 2011г. </w:t>
      </w:r>
      <w:r>
        <w:rPr>
          <w:rFonts w:ascii="Times New Roman" w:hAnsi="Times New Roman"/>
          <w:b/>
          <w:sz w:val="26"/>
          <w:szCs w:val="26"/>
        </w:rPr>
        <w:t>покупките на печатни издания</w:t>
      </w:r>
      <w:r>
        <w:rPr>
          <w:rFonts w:ascii="Times New Roman" w:hAnsi="Times New Roman"/>
          <w:sz w:val="26"/>
          <w:szCs w:val="26"/>
        </w:rPr>
        <w:t xml:space="preserve"> от издатели и дистрибутори са извършв</w:t>
      </w:r>
      <w:r>
        <w:rPr>
          <w:rFonts w:ascii="Times New Roman" w:hAnsi="Times New Roman"/>
          <w:sz w:val="26"/>
          <w:szCs w:val="26"/>
        </w:rPr>
        <w:t xml:space="preserve">ани предимно от „Сенатор” ООД и са продавани на останалите дружества от Групата (има и периоди, в които някои от дружествата от Групата са продавали изданията, закупени от Сенатор, на други дружества от групата). В този период „Сенатор” ООД и „Оларт” ЕООД </w:t>
      </w:r>
      <w:r>
        <w:rPr>
          <w:rFonts w:ascii="Times New Roman" w:hAnsi="Times New Roman"/>
          <w:sz w:val="26"/>
          <w:szCs w:val="26"/>
        </w:rPr>
        <w:t>са закупували самостоятелно и съответно продавали самостоятелно печатните издания. От м.</w:t>
      </w:r>
      <w:r>
        <w:rPr>
          <w:rFonts w:ascii="Times New Roman" w:hAnsi="Times New Roman"/>
          <w:color w:val="FF0000"/>
          <w:sz w:val="26"/>
          <w:szCs w:val="26"/>
        </w:rPr>
        <w:t xml:space="preserve"> </w:t>
      </w:r>
      <w:r>
        <w:rPr>
          <w:rFonts w:ascii="Times New Roman" w:hAnsi="Times New Roman"/>
          <w:sz w:val="26"/>
          <w:szCs w:val="26"/>
        </w:rPr>
        <w:t>юни 2011г. „Сенатор” ООД започва да се снабдява основно от „Оларт” ЕООД</w:t>
      </w:r>
      <w:r>
        <w:rPr>
          <w:rStyle w:val="FootnoteReference"/>
          <w:rFonts w:ascii="Times New Roman" w:hAnsi="Times New Roman"/>
          <w:sz w:val="26"/>
          <w:szCs w:val="26"/>
        </w:rPr>
        <w:footnoteReference w:id="23"/>
      </w:r>
      <w:r>
        <w:rPr>
          <w:rFonts w:ascii="Times New Roman" w:hAnsi="Times New Roman"/>
          <w:sz w:val="26"/>
          <w:szCs w:val="26"/>
        </w:rPr>
        <w:t xml:space="preserve">, с цел оптимизиране на разходите за ФРЗ, наеми, транспорт и др. От своя страна, „Сенатор” ООД </w:t>
      </w:r>
      <w:r>
        <w:rPr>
          <w:rFonts w:ascii="Times New Roman" w:hAnsi="Times New Roman"/>
          <w:sz w:val="26"/>
          <w:szCs w:val="26"/>
        </w:rPr>
        <w:t xml:space="preserve">продава част от изданията на дружества от Групата, които ги реализират в собствени обекти и на други търговци (физически и юридически лица).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За периода </w:t>
      </w:r>
      <w:r>
        <w:rPr>
          <w:rFonts w:ascii="Times New Roman" w:hAnsi="Times New Roman"/>
          <w:i/>
          <w:sz w:val="26"/>
          <w:szCs w:val="26"/>
        </w:rPr>
        <w:t xml:space="preserve">клиенти </w:t>
      </w:r>
      <w:r>
        <w:rPr>
          <w:rFonts w:ascii="Times New Roman" w:hAnsi="Times New Roman"/>
          <w:sz w:val="26"/>
          <w:szCs w:val="26"/>
        </w:rPr>
        <w:t>на Сенатор ООД са както дружества от Групата, така и независими търговци на едро и на дребно, с</w:t>
      </w:r>
      <w:r>
        <w:rPr>
          <w:rFonts w:ascii="Times New Roman" w:hAnsi="Times New Roman"/>
          <w:sz w:val="26"/>
          <w:szCs w:val="26"/>
        </w:rPr>
        <w:t>ред които AБB OЙЛ EOOД; AKC Tpeйдинг OOД; BГБ Бългapия OOД; Джopгoв EOOД; Eлиc-2005 EOOД; Eнa Mapкeт EOOД; ET Aлбa Билд-Mиpocлaв Димитpoв; ET Aляcкa 2000; ET Aнтикa; ET Димитъp Ивaнoв; ET Eмили-Eмилия Paйчoвa; ET Жoди-2000; ET ИB&amp;ИB-Ивaн Ивaнoв; ET Keнтaвъ</w:t>
      </w:r>
      <w:r>
        <w:rPr>
          <w:rFonts w:ascii="Times New Roman" w:hAnsi="Times New Roman"/>
          <w:sz w:val="26"/>
          <w:szCs w:val="26"/>
        </w:rPr>
        <w:t>p 04-Ив.Paнгeлoв; ET Kикo-Kиpил Kиpилoв; Hoвa фaмилия 2007 EOOД; Пpec 2000 OOД; Poмпeтpoл Бългapия AД; CД ИMEC ИBAHOB И C-ИE; CЛAB 1995 EOOД; Cлaгeт OOД; Coнaтa Koмepc OOД; Teмcи EOOД; Фapм плюc EOOД; Флaмбъp OOД; Цвeтянa EOOД; Юкo Koмepc OOД (2009 г.); 20</w:t>
      </w:r>
      <w:r>
        <w:rPr>
          <w:rFonts w:ascii="Times New Roman" w:hAnsi="Times New Roman"/>
          <w:sz w:val="26"/>
          <w:szCs w:val="26"/>
        </w:rPr>
        <w:t xml:space="preserve">10 – и Агенция Стрела ЕООД; Ритейл ООД; Caмoдумoв KO EOOД. Липсва информация какви издания са продадени на тези клиенти и каква  търговска отстъпка са получили от Сенатор ООД.  </w:t>
      </w:r>
    </w:p>
    <w:p w:rsidR="00000000" w:rsidRDefault="003E498D">
      <w:pPr>
        <w:contextualSpacing/>
        <w:jc w:val="both"/>
        <w:rPr>
          <w:rFonts w:ascii="Times New Roman" w:hAnsi="Times New Roman"/>
          <w:sz w:val="26"/>
          <w:szCs w:val="26"/>
        </w:rPr>
      </w:pPr>
      <w:bookmarkStart w:id="12" w:name="_Toc340653767"/>
    </w:p>
    <w:p w:rsidR="00000000" w:rsidRDefault="003E498D">
      <w:pPr>
        <w:contextualSpacing/>
        <w:jc w:val="both"/>
        <w:rPr>
          <w:rFonts w:ascii="Times New Roman" w:hAnsi="Times New Roman"/>
          <w:sz w:val="26"/>
          <w:szCs w:val="26"/>
        </w:rPr>
      </w:pPr>
      <w:r>
        <w:rPr>
          <w:rFonts w:ascii="Times New Roman" w:hAnsi="Times New Roman"/>
          <w:b/>
          <w:sz w:val="26"/>
          <w:szCs w:val="26"/>
        </w:rPr>
        <w:t>Група Герини</w:t>
      </w:r>
      <w:bookmarkEnd w:id="12"/>
      <w:r>
        <w:rPr>
          <w:rFonts w:ascii="Times New Roman" w:hAnsi="Times New Roman"/>
          <w:sz w:val="26"/>
          <w:szCs w:val="26"/>
        </w:rPr>
        <w:t xml:space="preserve">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Акционери на </w:t>
      </w:r>
      <w:r>
        <w:rPr>
          <w:rFonts w:ascii="Times New Roman" w:hAnsi="Times New Roman"/>
          <w:b/>
          <w:sz w:val="26"/>
          <w:szCs w:val="26"/>
        </w:rPr>
        <w:t>„Герини Прес“ АД, Пловдив  /ЕИК 201053149/</w:t>
      </w:r>
      <w:r>
        <w:rPr>
          <w:rFonts w:ascii="Times New Roman" w:hAnsi="Times New Roman"/>
          <w:sz w:val="26"/>
          <w:szCs w:val="26"/>
        </w:rPr>
        <w:t xml:space="preserve"> са „Бра</w:t>
      </w:r>
      <w:r>
        <w:rPr>
          <w:rFonts w:ascii="Times New Roman" w:hAnsi="Times New Roman"/>
          <w:sz w:val="26"/>
          <w:szCs w:val="26"/>
        </w:rPr>
        <w:t>тя Герини 93“ ЕООД и лицето Петър Герин, които притежават по 50 % от капитала.  Дружеството е собственик на пет дружества („Братя Герини Прес“ ЕООД; „Минерала-98“ ЕООД, „Братя Герини 2005“ ЕООД; „Криста-2003“ ЕООД и „Медия сервиз Прес 09“ ЕООД), които осъщ</w:t>
      </w:r>
      <w:r>
        <w:rPr>
          <w:rFonts w:ascii="Times New Roman" w:hAnsi="Times New Roman"/>
          <w:sz w:val="26"/>
          <w:szCs w:val="26"/>
        </w:rPr>
        <w:t xml:space="preserve">ествяват разпространение и абонамент на печатни издания основно на територията на Южна България.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Петър Герин има дял и в „Мирела“ ООД, което също извършва търговия на печатни издания на територията на град Пловдив и околността и се явява клиент на Групата</w:t>
      </w:r>
      <w:r>
        <w:rPr>
          <w:rFonts w:ascii="Times New Roman" w:hAnsi="Times New Roman"/>
          <w:sz w:val="26"/>
          <w:szCs w:val="26"/>
        </w:rPr>
        <w:t xml:space="preserve"> Герини.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„Герини Прес“ АД закупува печатните издания както от издателите, така и от други търговци на едро. Основни дистрибутори на Групата за 2011г. са „Агенция Стрела“ ЕООД (изданията на МГБХ), „Пресмаркет“ ЕООД (вестници Монитор, Телеграф, Засада и Мер</w:t>
      </w:r>
      <w:r>
        <w:rPr>
          <w:rFonts w:ascii="Times New Roman" w:hAnsi="Times New Roman"/>
          <w:sz w:val="26"/>
          <w:szCs w:val="26"/>
        </w:rPr>
        <w:t>идиан мач), „Национална дистрибуция“ ООД (сред които вестниците Дума, Галерия, Уикенд, Шок, 7 дни спорт, Сега), „Прес“ ЕООД  и „Оларт“ ЕООД (специализирани вестници и списания). Някои издатели - „АС Медия“ АД (в. Република), „Стандарт Нюз“АД (в. Стандарт),</w:t>
      </w:r>
      <w:r>
        <w:rPr>
          <w:rFonts w:ascii="Times New Roman" w:hAnsi="Times New Roman"/>
          <w:sz w:val="26"/>
          <w:szCs w:val="26"/>
        </w:rPr>
        <w:t xml:space="preserve"> „Интермедия“ ООД (в. Шоу и в. Доктор), „Торнадо Медия“ ЕООД (в. Торнадо), „Егмонт България“ ЕАД (издания), „Санома Блясък България“ АД (списания), „Класа България“ ЕАД (в. Класа), доставят директно изданията си на Групата, която разпространява и регионалн</w:t>
      </w:r>
      <w:r>
        <w:rPr>
          <w:rFonts w:ascii="Times New Roman" w:hAnsi="Times New Roman"/>
          <w:sz w:val="26"/>
          <w:szCs w:val="26"/>
        </w:rPr>
        <w:t xml:space="preserve">и печатни издания, които закупува от </w:t>
      </w:r>
      <w:r>
        <w:rPr>
          <w:rFonts w:ascii="Times New Roman" w:hAnsi="Times New Roman"/>
          <w:sz w:val="26"/>
          <w:szCs w:val="26"/>
        </w:rPr>
        <w:lastRenderedPageBreak/>
        <w:t xml:space="preserve">съответния регионален издател – „С нюз бг“ ООД (в. Акцент); „ИК Марица“ ЕООД, Пловдив (в. Марица); „Хасковска Марица“ ООД (в. Марица Хасково), „Бургас днес и утре“ ООД (БДУ) и „Евроком България“ ЕООД (в. Новият глас).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Групата взима изданията от рампата на печатницата или депото на разпространителя на едро и ги превозва със собствен транспорт до своя склад, след което ги разпределя съгласно предварително направена заявка за всяко населено място, където има свои павилиони</w:t>
      </w:r>
      <w:r>
        <w:rPr>
          <w:rFonts w:ascii="Times New Roman" w:hAnsi="Times New Roman"/>
          <w:sz w:val="26"/>
          <w:szCs w:val="26"/>
        </w:rPr>
        <w:t xml:space="preserve"> и доставя на други разпространители изданията.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Групата Герини реализира основно печатните издания чрез дистрибутори на едро, който канал на дистрибуция през 2009г. - 2010г. формира дял от 81-82 % спрямо общо реализираните печатни издания на Групата. През</w:t>
      </w:r>
      <w:r>
        <w:rPr>
          <w:rFonts w:ascii="Times New Roman" w:hAnsi="Times New Roman"/>
          <w:sz w:val="26"/>
          <w:szCs w:val="26"/>
        </w:rPr>
        <w:t xml:space="preserve"> 2011г. се забелязва спад в разпространението на печатни издания чрез независими дистрибутори на едро, като делът му намалява до приблизително 64 %, за сметка реализацията чрез собствени крайни обекти, който дял приблизително от 17 % през 2009 г.-2010 г. д</w:t>
      </w:r>
      <w:r>
        <w:rPr>
          <w:rFonts w:ascii="Times New Roman" w:hAnsi="Times New Roman"/>
          <w:sz w:val="26"/>
          <w:szCs w:val="26"/>
        </w:rPr>
        <w:t>остига до 36 % през 2011г. Реализираните издания на Групата чрез абонамент са под 1 % спрямо общо реализирания брой печатни издания.</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Таблица № 13 съдържа информация за доставения и реализиран тираж общо на национални вестници, в т.ч. и за ежедневници и сед</w:t>
      </w:r>
      <w:r>
        <w:rPr>
          <w:rFonts w:ascii="Times New Roman" w:hAnsi="Times New Roman"/>
          <w:sz w:val="26"/>
          <w:szCs w:val="26"/>
        </w:rPr>
        <w:t xml:space="preserve">мичници. </w:t>
      </w:r>
    </w:p>
    <w:p w:rsidR="00000000" w:rsidRDefault="003E498D">
      <w:pPr>
        <w:pStyle w:val="NoSpacing"/>
        <w:ind w:left="6372" w:firstLine="708"/>
        <w:contextualSpacing/>
        <w:jc w:val="right"/>
        <w:rPr>
          <w:rFonts w:ascii="Times New Roman" w:hAnsi="Times New Roman"/>
          <w:spacing w:val="1"/>
          <w:sz w:val="26"/>
          <w:szCs w:val="26"/>
          <w:lang w:eastAsia="bg-BG"/>
        </w:rPr>
      </w:pPr>
      <w:r>
        <w:rPr>
          <w:rFonts w:ascii="Times New Roman" w:hAnsi="Times New Roman"/>
          <w:spacing w:val="1"/>
          <w:sz w:val="26"/>
          <w:szCs w:val="26"/>
          <w:lang w:eastAsia="bg-BG"/>
        </w:rPr>
        <w:t>Таблица № 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7"/>
        <w:gridCol w:w="1409"/>
        <w:gridCol w:w="1418"/>
        <w:gridCol w:w="1447"/>
        <w:gridCol w:w="1386"/>
        <w:gridCol w:w="1275"/>
        <w:gridCol w:w="1386"/>
      </w:tblGrid>
      <w:tr w:rsidR="00000000">
        <w:tc>
          <w:tcPr>
            <w:tcW w:w="967" w:type="dxa"/>
            <w:vMerge w:val="restart"/>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Година</w:t>
            </w:r>
          </w:p>
        </w:tc>
        <w:tc>
          <w:tcPr>
            <w:tcW w:w="8321" w:type="dxa"/>
            <w:gridSpan w:val="6"/>
          </w:tcPr>
          <w:p w:rsidR="00000000" w:rsidRDefault="003E498D">
            <w:pPr>
              <w:pStyle w:val="NoSpacing"/>
              <w:contextualSpacing/>
              <w:jc w:val="center"/>
              <w:rPr>
                <w:rFonts w:ascii="Times New Roman" w:hAnsi="Times New Roman"/>
                <w:spacing w:val="1"/>
              </w:rPr>
            </w:pPr>
            <w:r>
              <w:rPr>
                <w:rFonts w:ascii="Times New Roman" w:hAnsi="Times New Roman"/>
                <w:spacing w:val="1"/>
              </w:rPr>
              <w:t>Национални вестници- тираж /бр./</w:t>
            </w:r>
          </w:p>
        </w:tc>
      </w:tr>
      <w:tr w:rsidR="00000000">
        <w:tc>
          <w:tcPr>
            <w:tcW w:w="967" w:type="dxa"/>
            <w:vMerge/>
          </w:tcPr>
          <w:p w:rsidR="00000000" w:rsidRDefault="003E498D">
            <w:pPr>
              <w:pStyle w:val="NoSpacing"/>
              <w:contextualSpacing/>
              <w:jc w:val="both"/>
              <w:rPr>
                <w:rFonts w:ascii="Times New Roman" w:hAnsi="Times New Roman"/>
                <w:spacing w:val="1"/>
              </w:rPr>
            </w:pPr>
          </w:p>
        </w:tc>
        <w:tc>
          <w:tcPr>
            <w:tcW w:w="2827" w:type="dxa"/>
            <w:gridSpan w:val="2"/>
          </w:tcPr>
          <w:p w:rsidR="00000000" w:rsidRDefault="003E498D">
            <w:pPr>
              <w:pStyle w:val="NoSpacing"/>
              <w:contextualSpacing/>
              <w:jc w:val="center"/>
              <w:rPr>
                <w:rFonts w:ascii="Times New Roman" w:hAnsi="Times New Roman"/>
                <w:spacing w:val="1"/>
              </w:rPr>
            </w:pPr>
            <w:r>
              <w:rPr>
                <w:rFonts w:ascii="Times New Roman" w:hAnsi="Times New Roman"/>
                <w:spacing w:val="1"/>
              </w:rPr>
              <w:t>общо</w:t>
            </w:r>
          </w:p>
        </w:tc>
        <w:tc>
          <w:tcPr>
            <w:tcW w:w="2833" w:type="dxa"/>
            <w:gridSpan w:val="2"/>
          </w:tcPr>
          <w:p w:rsidR="00000000" w:rsidRDefault="003E498D">
            <w:pPr>
              <w:pStyle w:val="NoSpacing"/>
              <w:contextualSpacing/>
              <w:jc w:val="center"/>
              <w:rPr>
                <w:rFonts w:ascii="Times New Roman" w:hAnsi="Times New Roman"/>
                <w:spacing w:val="1"/>
              </w:rPr>
            </w:pPr>
            <w:r>
              <w:rPr>
                <w:rFonts w:ascii="Times New Roman" w:hAnsi="Times New Roman"/>
                <w:spacing w:val="1"/>
              </w:rPr>
              <w:t>ежедневници</w:t>
            </w:r>
          </w:p>
        </w:tc>
        <w:tc>
          <w:tcPr>
            <w:tcW w:w="2661" w:type="dxa"/>
            <w:gridSpan w:val="2"/>
          </w:tcPr>
          <w:p w:rsidR="00000000" w:rsidRDefault="003E498D">
            <w:pPr>
              <w:pStyle w:val="NoSpacing"/>
              <w:contextualSpacing/>
              <w:jc w:val="center"/>
              <w:rPr>
                <w:rFonts w:ascii="Times New Roman" w:hAnsi="Times New Roman"/>
                <w:spacing w:val="1"/>
              </w:rPr>
            </w:pPr>
            <w:r>
              <w:rPr>
                <w:rFonts w:ascii="Times New Roman" w:hAnsi="Times New Roman"/>
                <w:spacing w:val="1"/>
              </w:rPr>
              <w:t>седмичници</w:t>
            </w:r>
          </w:p>
        </w:tc>
      </w:tr>
      <w:tr w:rsidR="00000000">
        <w:tc>
          <w:tcPr>
            <w:tcW w:w="967" w:type="dxa"/>
            <w:vMerge/>
          </w:tcPr>
          <w:p w:rsidR="00000000" w:rsidRDefault="003E498D">
            <w:pPr>
              <w:pStyle w:val="NoSpacing"/>
              <w:contextualSpacing/>
              <w:jc w:val="both"/>
              <w:rPr>
                <w:rFonts w:ascii="Times New Roman" w:hAnsi="Times New Roman"/>
                <w:spacing w:val="1"/>
              </w:rPr>
            </w:pPr>
          </w:p>
        </w:tc>
        <w:tc>
          <w:tcPr>
            <w:tcW w:w="1409" w:type="dxa"/>
          </w:tcPr>
          <w:p w:rsidR="00000000" w:rsidRDefault="003E498D">
            <w:pPr>
              <w:pStyle w:val="NoSpacing"/>
              <w:contextualSpacing/>
              <w:jc w:val="both"/>
              <w:rPr>
                <w:rFonts w:ascii="Times New Roman" w:hAnsi="Times New Roman"/>
                <w:spacing w:val="1"/>
              </w:rPr>
            </w:pPr>
            <w:r>
              <w:rPr>
                <w:rFonts w:ascii="Times New Roman" w:hAnsi="Times New Roman"/>
                <w:spacing w:val="1"/>
              </w:rPr>
              <w:t>доставен</w:t>
            </w:r>
          </w:p>
        </w:tc>
        <w:tc>
          <w:tcPr>
            <w:tcW w:w="1418" w:type="dxa"/>
          </w:tcPr>
          <w:p w:rsidR="00000000" w:rsidRDefault="003E498D">
            <w:pPr>
              <w:pStyle w:val="NoSpacing"/>
              <w:contextualSpacing/>
              <w:jc w:val="both"/>
              <w:rPr>
                <w:rFonts w:ascii="Times New Roman" w:hAnsi="Times New Roman"/>
                <w:spacing w:val="1"/>
              </w:rPr>
            </w:pPr>
            <w:r>
              <w:rPr>
                <w:rFonts w:ascii="Times New Roman" w:hAnsi="Times New Roman"/>
                <w:spacing w:val="1"/>
              </w:rPr>
              <w:t>реализиран</w:t>
            </w:r>
          </w:p>
        </w:tc>
        <w:tc>
          <w:tcPr>
            <w:tcW w:w="1447" w:type="dxa"/>
          </w:tcPr>
          <w:p w:rsidR="00000000" w:rsidRDefault="003E498D">
            <w:pPr>
              <w:pStyle w:val="NoSpacing"/>
              <w:contextualSpacing/>
              <w:jc w:val="both"/>
              <w:rPr>
                <w:rFonts w:ascii="Times New Roman" w:hAnsi="Times New Roman"/>
                <w:spacing w:val="1"/>
              </w:rPr>
            </w:pPr>
            <w:r>
              <w:rPr>
                <w:rFonts w:ascii="Times New Roman" w:hAnsi="Times New Roman"/>
                <w:spacing w:val="1"/>
              </w:rPr>
              <w:t>доставен</w:t>
            </w:r>
          </w:p>
        </w:tc>
        <w:tc>
          <w:tcPr>
            <w:tcW w:w="1386" w:type="dxa"/>
          </w:tcPr>
          <w:p w:rsidR="00000000" w:rsidRDefault="003E498D">
            <w:pPr>
              <w:pStyle w:val="NoSpacing"/>
              <w:contextualSpacing/>
              <w:jc w:val="both"/>
              <w:rPr>
                <w:rFonts w:ascii="Times New Roman" w:hAnsi="Times New Roman"/>
                <w:spacing w:val="1"/>
              </w:rPr>
            </w:pPr>
            <w:r>
              <w:rPr>
                <w:rFonts w:ascii="Times New Roman" w:hAnsi="Times New Roman"/>
                <w:spacing w:val="1"/>
              </w:rPr>
              <w:t>реализиран</w:t>
            </w:r>
          </w:p>
        </w:tc>
        <w:tc>
          <w:tcPr>
            <w:tcW w:w="1275" w:type="dxa"/>
          </w:tcPr>
          <w:p w:rsidR="00000000" w:rsidRDefault="003E498D">
            <w:pPr>
              <w:pStyle w:val="NoSpacing"/>
              <w:contextualSpacing/>
              <w:jc w:val="both"/>
              <w:rPr>
                <w:rFonts w:ascii="Times New Roman" w:hAnsi="Times New Roman"/>
                <w:spacing w:val="1"/>
              </w:rPr>
            </w:pPr>
            <w:r>
              <w:rPr>
                <w:rFonts w:ascii="Times New Roman" w:hAnsi="Times New Roman"/>
                <w:spacing w:val="1"/>
              </w:rPr>
              <w:t>доставен</w:t>
            </w:r>
          </w:p>
        </w:tc>
        <w:tc>
          <w:tcPr>
            <w:tcW w:w="1386" w:type="dxa"/>
          </w:tcPr>
          <w:p w:rsidR="00000000" w:rsidRDefault="003E498D">
            <w:pPr>
              <w:pStyle w:val="NoSpacing"/>
              <w:contextualSpacing/>
              <w:jc w:val="both"/>
              <w:rPr>
                <w:rFonts w:ascii="Times New Roman" w:hAnsi="Times New Roman"/>
                <w:spacing w:val="1"/>
              </w:rPr>
            </w:pPr>
            <w:r>
              <w:rPr>
                <w:rFonts w:ascii="Times New Roman" w:hAnsi="Times New Roman"/>
                <w:spacing w:val="1"/>
              </w:rPr>
              <w:t>реализиран</w:t>
            </w:r>
          </w:p>
        </w:tc>
      </w:tr>
      <w:tr w:rsidR="00000000">
        <w:tc>
          <w:tcPr>
            <w:tcW w:w="967"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2009г.</w:t>
            </w:r>
          </w:p>
        </w:tc>
        <w:tc>
          <w:tcPr>
            <w:tcW w:w="1409" w:type="dxa"/>
            <w:vAlign w:val="bottom"/>
          </w:tcPr>
          <w:p w:rsidR="00000000" w:rsidRDefault="003E498D">
            <w:pPr>
              <w:contextualSpacing/>
              <w:rPr>
                <w:rFonts w:ascii="Times New Roman" w:hAnsi="Times New Roman"/>
                <w:sz w:val="22"/>
                <w:szCs w:val="22"/>
              </w:rPr>
            </w:pPr>
            <w:r>
              <w:rPr>
                <w:rFonts w:ascii="Times New Roman" w:hAnsi="Times New Roman"/>
                <w:sz w:val="22"/>
                <w:szCs w:val="22"/>
              </w:rPr>
              <w:t>14</w:t>
            </w:r>
            <w:r>
              <w:rPr>
                <w:rFonts w:ascii="Times New Roman" w:hAnsi="Times New Roman"/>
                <w:sz w:val="22"/>
                <w:szCs w:val="22"/>
                <w:lang w:val="en-US"/>
              </w:rPr>
              <w:t> </w:t>
            </w:r>
            <w:r>
              <w:rPr>
                <w:rFonts w:ascii="Times New Roman" w:hAnsi="Times New Roman"/>
                <w:sz w:val="22"/>
                <w:szCs w:val="22"/>
              </w:rPr>
              <w:t>949</w:t>
            </w:r>
            <w:r>
              <w:rPr>
                <w:rFonts w:ascii="Times New Roman" w:hAnsi="Times New Roman"/>
                <w:sz w:val="22"/>
                <w:szCs w:val="22"/>
                <w:lang w:val="en-US"/>
              </w:rPr>
              <w:t xml:space="preserve"> </w:t>
            </w:r>
            <w:r>
              <w:rPr>
                <w:rFonts w:ascii="Times New Roman" w:hAnsi="Times New Roman"/>
                <w:sz w:val="22"/>
                <w:szCs w:val="22"/>
              </w:rPr>
              <w:t>760</w:t>
            </w:r>
          </w:p>
        </w:tc>
        <w:tc>
          <w:tcPr>
            <w:tcW w:w="1418" w:type="dxa"/>
            <w:vAlign w:val="bottom"/>
          </w:tcPr>
          <w:p w:rsidR="00000000" w:rsidRDefault="003E498D">
            <w:pPr>
              <w:contextualSpacing/>
              <w:rPr>
                <w:rFonts w:ascii="Times New Roman" w:hAnsi="Times New Roman"/>
                <w:sz w:val="22"/>
                <w:szCs w:val="22"/>
              </w:rPr>
            </w:pPr>
            <w:r>
              <w:rPr>
                <w:rFonts w:ascii="Times New Roman" w:hAnsi="Times New Roman"/>
                <w:sz w:val="22"/>
                <w:szCs w:val="22"/>
              </w:rPr>
              <w:t>15</w:t>
            </w:r>
            <w:r>
              <w:rPr>
                <w:rFonts w:ascii="Times New Roman" w:hAnsi="Times New Roman"/>
                <w:sz w:val="22"/>
                <w:szCs w:val="22"/>
                <w:lang w:val="en-US"/>
              </w:rPr>
              <w:t xml:space="preserve"> </w:t>
            </w:r>
            <w:r>
              <w:rPr>
                <w:rFonts w:ascii="Times New Roman" w:hAnsi="Times New Roman"/>
                <w:sz w:val="22"/>
                <w:szCs w:val="22"/>
              </w:rPr>
              <w:t>598</w:t>
            </w:r>
            <w:r>
              <w:rPr>
                <w:rFonts w:ascii="Times New Roman" w:hAnsi="Times New Roman"/>
                <w:sz w:val="22"/>
                <w:szCs w:val="22"/>
                <w:lang w:val="en-US"/>
              </w:rPr>
              <w:t xml:space="preserve"> </w:t>
            </w:r>
            <w:r>
              <w:rPr>
                <w:rFonts w:ascii="Times New Roman" w:hAnsi="Times New Roman"/>
                <w:sz w:val="22"/>
                <w:szCs w:val="22"/>
              </w:rPr>
              <w:t>200</w:t>
            </w:r>
          </w:p>
        </w:tc>
        <w:tc>
          <w:tcPr>
            <w:tcW w:w="1447" w:type="dxa"/>
          </w:tcPr>
          <w:p w:rsidR="00000000" w:rsidRDefault="003E498D">
            <w:pPr>
              <w:pStyle w:val="NoSpacing"/>
              <w:contextualSpacing/>
              <w:jc w:val="both"/>
              <w:rPr>
                <w:rFonts w:ascii="Times New Roman" w:hAnsi="Times New Roman"/>
                <w:spacing w:val="1"/>
              </w:rPr>
            </w:pPr>
            <w:r>
              <w:rPr>
                <w:rFonts w:ascii="Times New Roman" w:hAnsi="Times New Roman"/>
                <w:spacing w:val="1"/>
                <w:lang w:val="en-US"/>
              </w:rPr>
              <w:t xml:space="preserve">  </w:t>
            </w:r>
            <w:r>
              <w:rPr>
                <w:rFonts w:ascii="Times New Roman" w:hAnsi="Times New Roman"/>
                <w:spacing w:val="1"/>
              </w:rPr>
              <w:t>9</w:t>
            </w:r>
            <w:r>
              <w:rPr>
                <w:rFonts w:ascii="Times New Roman" w:hAnsi="Times New Roman"/>
                <w:spacing w:val="1"/>
                <w:lang w:val="en-US"/>
              </w:rPr>
              <w:t xml:space="preserve"> </w:t>
            </w:r>
            <w:r>
              <w:rPr>
                <w:rFonts w:ascii="Times New Roman" w:hAnsi="Times New Roman"/>
                <w:spacing w:val="1"/>
              </w:rPr>
              <w:t>996</w:t>
            </w:r>
            <w:r>
              <w:rPr>
                <w:rFonts w:ascii="Times New Roman" w:hAnsi="Times New Roman"/>
                <w:spacing w:val="1"/>
                <w:lang w:val="en-US"/>
              </w:rPr>
              <w:t xml:space="preserve"> </w:t>
            </w:r>
            <w:r>
              <w:rPr>
                <w:rFonts w:ascii="Times New Roman" w:hAnsi="Times New Roman"/>
                <w:spacing w:val="1"/>
              </w:rPr>
              <w:t>923</w:t>
            </w:r>
          </w:p>
        </w:tc>
        <w:tc>
          <w:tcPr>
            <w:tcW w:w="1386" w:type="dxa"/>
          </w:tcPr>
          <w:p w:rsidR="00000000" w:rsidRDefault="003E498D">
            <w:pPr>
              <w:pStyle w:val="NoSpacing"/>
              <w:contextualSpacing/>
              <w:jc w:val="both"/>
              <w:rPr>
                <w:rFonts w:ascii="Times New Roman" w:hAnsi="Times New Roman"/>
                <w:spacing w:val="1"/>
              </w:rPr>
            </w:pPr>
            <w:r>
              <w:rPr>
                <w:rFonts w:ascii="Times New Roman" w:hAnsi="Times New Roman"/>
                <w:spacing w:val="1"/>
              </w:rPr>
              <w:t>10</w:t>
            </w:r>
            <w:r>
              <w:rPr>
                <w:rFonts w:ascii="Times New Roman" w:hAnsi="Times New Roman"/>
                <w:spacing w:val="1"/>
                <w:lang w:val="en-US"/>
              </w:rPr>
              <w:t xml:space="preserve"> </w:t>
            </w:r>
            <w:r>
              <w:rPr>
                <w:rFonts w:ascii="Times New Roman" w:hAnsi="Times New Roman"/>
                <w:spacing w:val="1"/>
              </w:rPr>
              <w:t>517</w:t>
            </w:r>
            <w:r>
              <w:rPr>
                <w:rFonts w:ascii="Times New Roman" w:hAnsi="Times New Roman"/>
                <w:spacing w:val="1"/>
                <w:lang w:val="en-US"/>
              </w:rPr>
              <w:t xml:space="preserve"> </w:t>
            </w:r>
            <w:r>
              <w:rPr>
                <w:rFonts w:ascii="Times New Roman" w:hAnsi="Times New Roman"/>
                <w:spacing w:val="1"/>
              </w:rPr>
              <w:t>448</w:t>
            </w:r>
          </w:p>
        </w:tc>
        <w:tc>
          <w:tcPr>
            <w:tcW w:w="1275" w:type="dxa"/>
          </w:tcPr>
          <w:p w:rsidR="00000000" w:rsidRDefault="003E498D">
            <w:pPr>
              <w:pStyle w:val="NoSpacing"/>
              <w:contextualSpacing/>
              <w:jc w:val="both"/>
              <w:rPr>
                <w:rFonts w:ascii="Times New Roman" w:hAnsi="Times New Roman"/>
                <w:spacing w:val="1"/>
              </w:rPr>
            </w:pPr>
            <w:r>
              <w:rPr>
                <w:rFonts w:ascii="Times New Roman" w:hAnsi="Times New Roman"/>
                <w:spacing w:val="1"/>
              </w:rPr>
              <w:t>4</w:t>
            </w:r>
            <w:r>
              <w:rPr>
                <w:rFonts w:ascii="Times New Roman" w:hAnsi="Times New Roman"/>
                <w:spacing w:val="1"/>
                <w:lang w:val="en-US"/>
              </w:rPr>
              <w:t xml:space="preserve"> </w:t>
            </w:r>
            <w:r>
              <w:rPr>
                <w:rFonts w:ascii="Times New Roman" w:hAnsi="Times New Roman"/>
                <w:spacing w:val="1"/>
              </w:rPr>
              <w:t>952</w:t>
            </w:r>
            <w:r>
              <w:rPr>
                <w:rFonts w:ascii="Times New Roman" w:hAnsi="Times New Roman"/>
                <w:spacing w:val="1"/>
                <w:lang w:val="en-US"/>
              </w:rPr>
              <w:t xml:space="preserve"> </w:t>
            </w:r>
            <w:r>
              <w:rPr>
                <w:rFonts w:ascii="Times New Roman" w:hAnsi="Times New Roman"/>
                <w:spacing w:val="1"/>
              </w:rPr>
              <w:t>837</w:t>
            </w:r>
          </w:p>
        </w:tc>
        <w:tc>
          <w:tcPr>
            <w:tcW w:w="1386" w:type="dxa"/>
          </w:tcPr>
          <w:p w:rsidR="00000000" w:rsidRDefault="003E498D">
            <w:pPr>
              <w:pStyle w:val="NoSpacing"/>
              <w:contextualSpacing/>
              <w:jc w:val="both"/>
              <w:rPr>
                <w:rFonts w:ascii="Times New Roman" w:hAnsi="Times New Roman"/>
                <w:spacing w:val="1"/>
              </w:rPr>
            </w:pPr>
            <w:r>
              <w:rPr>
                <w:rFonts w:ascii="Times New Roman" w:hAnsi="Times New Roman"/>
                <w:spacing w:val="1"/>
              </w:rPr>
              <w:t>5</w:t>
            </w:r>
            <w:r>
              <w:rPr>
                <w:rFonts w:ascii="Times New Roman" w:hAnsi="Times New Roman"/>
                <w:spacing w:val="1"/>
                <w:lang w:val="en-US"/>
              </w:rPr>
              <w:t xml:space="preserve"> </w:t>
            </w:r>
            <w:r>
              <w:rPr>
                <w:rFonts w:ascii="Times New Roman" w:hAnsi="Times New Roman"/>
                <w:spacing w:val="1"/>
              </w:rPr>
              <w:t>080</w:t>
            </w:r>
            <w:r>
              <w:rPr>
                <w:rFonts w:ascii="Times New Roman" w:hAnsi="Times New Roman"/>
                <w:spacing w:val="1"/>
                <w:lang w:val="en-US"/>
              </w:rPr>
              <w:t xml:space="preserve"> </w:t>
            </w:r>
            <w:r>
              <w:rPr>
                <w:rFonts w:ascii="Times New Roman" w:hAnsi="Times New Roman"/>
                <w:spacing w:val="1"/>
              </w:rPr>
              <w:t>752</w:t>
            </w:r>
          </w:p>
        </w:tc>
      </w:tr>
      <w:tr w:rsidR="00000000">
        <w:tc>
          <w:tcPr>
            <w:tcW w:w="967"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2010г.</w:t>
            </w:r>
          </w:p>
        </w:tc>
        <w:tc>
          <w:tcPr>
            <w:tcW w:w="1409" w:type="dxa"/>
            <w:vAlign w:val="bottom"/>
          </w:tcPr>
          <w:p w:rsidR="00000000" w:rsidRDefault="003E498D">
            <w:pPr>
              <w:contextualSpacing/>
              <w:rPr>
                <w:rFonts w:ascii="Times New Roman" w:hAnsi="Times New Roman"/>
                <w:sz w:val="22"/>
                <w:szCs w:val="22"/>
              </w:rPr>
            </w:pPr>
            <w:r>
              <w:rPr>
                <w:rFonts w:ascii="Times New Roman" w:hAnsi="Times New Roman"/>
                <w:sz w:val="22"/>
                <w:szCs w:val="22"/>
              </w:rPr>
              <w:t>15</w:t>
            </w:r>
            <w:r>
              <w:rPr>
                <w:rFonts w:ascii="Times New Roman" w:hAnsi="Times New Roman"/>
                <w:sz w:val="22"/>
                <w:szCs w:val="22"/>
                <w:lang w:val="en-US"/>
              </w:rPr>
              <w:t> </w:t>
            </w:r>
            <w:r>
              <w:rPr>
                <w:rFonts w:ascii="Times New Roman" w:hAnsi="Times New Roman"/>
                <w:sz w:val="22"/>
                <w:szCs w:val="22"/>
              </w:rPr>
              <w:t>603</w:t>
            </w:r>
            <w:r>
              <w:rPr>
                <w:rFonts w:ascii="Times New Roman" w:hAnsi="Times New Roman"/>
                <w:sz w:val="22"/>
                <w:szCs w:val="22"/>
                <w:lang w:val="en-US"/>
              </w:rPr>
              <w:t xml:space="preserve"> </w:t>
            </w:r>
            <w:r>
              <w:rPr>
                <w:rFonts w:ascii="Times New Roman" w:hAnsi="Times New Roman"/>
                <w:sz w:val="22"/>
                <w:szCs w:val="22"/>
              </w:rPr>
              <w:t>283</w:t>
            </w:r>
          </w:p>
        </w:tc>
        <w:tc>
          <w:tcPr>
            <w:tcW w:w="1418" w:type="dxa"/>
            <w:vAlign w:val="bottom"/>
          </w:tcPr>
          <w:p w:rsidR="00000000" w:rsidRDefault="003E498D">
            <w:pPr>
              <w:contextualSpacing/>
              <w:rPr>
                <w:rFonts w:ascii="Times New Roman" w:hAnsi="Times New Roman"/>
                <w:sz w:val="22"/>
                <w:szCs w:val="22"/>
              </w:rPr>
            </w:pPr>
            <w:r>
              <w:rPr>
                <w:rFonts w:ascii="Times New Roman" w:hAnsi="Times New Roman"/>
                <w:sz w:val="22"/>
                <w:szCs w:val="22"/>
              </w:rPr>
              <w:t>15</w:t>
            </w:r>
            <w:r>
              <w:rPr>
                <w:rFonts w:ascii="Times New Roman" w:hAnsi="Times New Roman"/>
                <w:sz w:val="22"/>
                <w:szCs w:val="22"/>
                <w:lang w:val="en-US"/>
              </w:rPr>
              <w:t xml:space="preserve"> </w:t>
            </w:r>
            <w:r>
              <w:rPr>
                <w:rFonts w:ascii="Times New Roman" w:hAnsi="Times New Roman"/>
                <w:sz w:val="22"/>
                <w:szCs w:val="22"/>
              </w:rPr>
              <w:t>311</w:t>
            </w:r>
            <w:r>
              <w:rPr>
                <w:rFonts w:ascii="Times New Roman" w:hAnsi="Times New Roman"/>
                <w:sz w:val="22"/>
                <w:szCs w:val="22"/>
                <w:lang w:val="en-US"/>
              </w:rPr>
              <w:t xml:space="preserve"> </w:t>
            </w:r>
            <w:r>
              <w:rPr>
                <w:rFonts w:ascii="Times New Roman" w:hAnsi="Times New Roman"/>
                <w:sz w:val="22"/>
                <w:szCs w:val="22"/>
              </w:rPr>
              <w:t>00</w:t>
            </w:r>
            <w:r>
              <w:rPr>
                <w:rFonts w:ascii="Times New Roman" w:hAnsi="Times New Roman"/>
                <w:sz w:val="22"/>
                <w:szCs w:val="22"/>
              </w:rPr>
              <w:t>8</w:t>
            </w:r>
          </w:p>
        </w:tc>
        <w:tc>
          <w:tcPr>
            <w:tcW w:w="1447" w:type="dxa"/>
          </w:tcPr>
          <w:p w:rsidR="00000000" w:rsidRDefault="003E498D">
            <w:pPr>
              <w:pStyle w:val="NoSpacing"/>
              <w:contextualSpacing/>
              <w:jc w:val="both"/>
              <w:rPr>
                <w:rFonts w:ascii="Times New Roman" w:hAnsi="Times New Roman"/>
                <w:spacing w:val="1"/>
              </w:rPr>
            </w:pPr>
            <w:r>
              <w:rPr>
                <w:rFonts w:ascii="Times New Roman" w:hAnsi="Times New Roman"/>
                <w:spacing w:val="1"/>
              </w:rPr>
              <w:t>10</w:t>
            </w:r>
            <w:r>
              <w:rPr>
                <w:rFonts w:ascii="Times New Roman" w:hAnsi="Times New Roman"/>
                <w:spacing w:val="1"/>
                <w:lang w:val="en-US"/>
              </w:rPr>
              <w:t xml:space="preserve"> </w:t>
            </w:r>
            <w:r>
              <w:rPr>
                <w:rFonts w:ascii="Times New Roman" w:hAnsi="Times New Roman"/>
                <w:spacing w:val="1"/>
              </w:rPr>
              <w:t>198</w:t>
            </w:r>
            <w:r>
              <w:rPr>
                <w:rFonts w:ascii="Times New Roman" w:hAnsi="Times New Roman"/>
                <w:spacing w:val="1"/>
                <w:lang w:val="en-US"/>
              </w:rPr>
              <w:t xml:space="preserve"> </w:t>
            </w:r>
            <w:r>
              <w:rPr>
                <w:rFonts w:ascii="Times New Roman" w:hAnsi="Times New Roman"/>
                <w:spacing w:val="1"/>
              </w:rPr>
              <w:t>125</w:t>
            </w:r>
          </w:p>
        </w:tc>
        <w:tc>
          <w:tcPr>
            <w:tcW w:w="1386" w:type="dxa"/>
          </w:tcPr>
          <w:p w:rsidR="00000000" w:rsidRDefault="003E498D">
            <w:pPr>
              <w:pStyle w:val="NoSpacing"/>
              <w:contextualSpacing/>
              <w:jc w:val="both"/>
              <w:rPr>
                <w:rFonts w:ascii="Times New Roman" w:hAnsi="Times New Roman"/>
                <w:spacing w:val="1"/>
              </w:rPr>
            </w:pPr>
            <w:r>
              <w:rPr>
                <w:rFonts w:ascii="Times New Roman" w:hAnsi="Times New Roman"/>
                <w:spacing w:val="1"/>
                <w:lang w:val="en-US"/>
              </w:rPr>
              <w:t xml:space="preserve">  </w:t>
            </w:r>
            <w:r>
              <w:rPr>
                <w:rFonts w:ascii="Times New Roman" w:hAnsi="Times New Roman"/>
                <w:spacing w:val="1"/>
              </w:rPr>
              <w:t>9</w:t>
            </w:r>
            <w:r>
              <w:rPr>
                <w:rFonts w:ascii="Times New Roman" w:hAnsi="Times New Roman"/>
                <w:spacing w:val="1"/>
                <w:lang w:val="en-US"/>
              </w:rPr>
              <w:t xml:space="preserve"> </w:t>
            </w:r>
            <w:r>
              <w:rPr>
                <w:rFonts w:ascii="Times New Roman" w:hAnsi="Times New Roman"/>
                <w:spacing w:val="1"/>
              </w:rPr>
              <w:t>822</w:t>
            </w:r>
            <w:r>
              <w:rPr>
                <w:rFonts w:ascii="Times New Roman" w:hAnsi="Times New Roman"/>
                <w:spacing w:val="1"/>
                <w:lang w:val="en-US"/>
              </w:rPr>
              <w:t xml:space="preserve"> </w:t>
            </w:r>
            <w:r>
              <w:rPr>
                <w:rFonts w:ascii="Times New Roman" w:hAnsi="Times New Roman"/>
                <w:spacing w:val="1"/>
              </w:rPr>
              <w:t>614</w:t>
            </w:r>
          </w:p>
        </w:tc>
        <w:tc>
          <w:tcPr>
            <w:tcW w:w="1275" w:type="dxa"/>
          </w:tcPr>
          <w:p w:rsidR="00000000" w:rsidRDefault="003E498D">
            <w:pPr>
              <w:pStyle w:val="NoSpacing"/>
              <w:contextualSpacing/>
              <w:jc w:val="both"/>
              <w:rPr>
                <w:rFonts w:ascii="Times New Roman" w:hAnsi="Times New Roman"/>
                <w:spacing w:val="1"/>
              </w:rPr>
            </w:pPr>
            <w:r>
              <w:rPr>
                <w:rFonts w:ascii="Times New Roman" w:hAnsi="Times New Roman"/>
                <w:spacing w:val="1"/>
              </w:rPr>
              <w:t>5</w:t>
            </w:r>
            <w:r>
              <w:rPr>
                <w:rFonts w:ascii="Times New Roman" w:hAnsi="Times New Roman"/>
                <w:spacing w:val="1"/>
                <w:lang w:val="en-US"/>
              </w:rPr>
              <w:t xml:space="preserve"> </w:t>
            </w:r>
            <w:r>
              <w:rPr>
                <w:rFonts w:ascii="Times New Roman" w:hAnsi="Times New Roman"/>
                <w:spacing w:val="1"/>
              </w:rPr>
              <w:t>405</w:t>
            </w:r>
            <w:r>
              <w:rPr>
                <w:rFonts w:ascii="Times New Roman" w:hAnsi="Times New Roman"/>
                <w:spacing w:val="1"/>
                <w:lang w:val="en-US"/>
              </w:rPr>
              <w:t xml:space="preserve"> </w:t>
            </w:r>
            <w:r>
              <w:rPr>
                <w:rFonts w:ascii="Times New Roman" w:hAnsi="Times New Roman"/>
                <w:spacing w:val="1"/>
              </w:rPr>
              <w:t>158</w:t>
            </w:r>
          </w:p>
        </w:tc>
        <w:tc>
          <w:tcPr>
            <w:tcW w:w="1386" w:type="dxa"/>
          </w:tcPr>
          <w:p w:rsidR="00000000" w:rsidRDefault="003E498D">
            <w:pPr>
              <w:pStyle w:val="NoSpacing"/>
              <w:contextualSpacing/>
              <w:jc w:val="both"/>
              <w:rPr>
                <w:rFonts w:ascii="Times New Roman" w:hAnsi="Times New Roman"/>
                <w:spacing w:val="1"/>
              </w:rPr>
            </w:pPr>
            <w:r>
              <w:rPr>
                <w:rFonts w:ascii="Times New Roman" w:hAnsi="Times New Roman"/>
                <w:spacing w:val="1"/>
              </w:rPr>
              <w:t>5</w:t>
            </w:r>
            <w:r>
              <w:rPr>
                <w:rFonts w:ascii="Times New Roman" w:hAnsi="Times New Roman"/>
                <w:spacing w:val="1"/>
                <w:lang w:val="en-US"/>
              </w:rPr>
              <w:t xml:space="preserve"> </w:t>
            </w:r>
            <w:r>
              <w:rPr>
                <w:rFonts w:ascii="Times New Roman" w:hAnsi="Times New Roman"/>
                <w:spacing w:val="1"/>
              </w:rPr>
              <w:t>488</w:t>
            </w:r>
            <w:r>
              <w:rPr>
                <w:rFonts w:ascii="Times New Roman" w:hAnsi="Times New Roman"/>
                <w:spacing w:val="1"/>
                <w:lang w:val="en-US"/>
              </w:rPr>
              <w:t xml:space="preserve"> </w:t>
            </w:r>
            <w:r>
              <w:rPr>
                <w:rFonts w:ascii="Times New Roman" w:hAnsi="Times New Roman"/>
                <w:spacing w:val="1"/>
              </w:rPr>
              <w:t>394</w:t>
            </w:r>
          </w:p>
        </w:tc>
      </w:tr>
      <w:tr w:rsidR="00000000">
        <w:tc>
          <w:tcPr>
            <w:tcW w:w="967"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2011г.</w:t>
            </w:r>
          </w:p>
        </w:tc>
        <w:tc>
          <w:tcPr>
            <w:tcW w:w="1409" w:type="dxa"/>
            <w:vAlign w:val="bottom"/>
          </w:tcPr>
          <w:p w:rsidR="00000000" w:rsidRDefault="003E498D">
            <w:pPr>
              <w:contextualSpacing/>
              <w:rPr>
                <w:rFonts w:ascii="Times New Roman" w:hAnsi="Times New Roman"/>
                <w:sz w:val="22"/>
                <w:szCs w:val="22"/>
              </w:rPr>
            </w:pPr>
            <w:r>
              <w:rPr>
                <w:rFonts w:ascii="Times New Roman" w:hAnsi="Times New Roman"/>
                <w:sz w:val="22"/>
                <w:szCs w:val="22"/>
              </w:rPr>
              <w:t>13</w:t>
            </w:r>
            <w:r>
              <w:rPr>
                <w:rFonts w:ascii="Times New Roman" w:hAnsi="Times New Roman"/>
                <w:sz w:val="22"/>
                <w:szCs w:val="22"/>
                <w:lang w:val="en-US"/>
              </w:rPr>
              <w:t> </w:t>
            </w:r>
            <w:r>
              <w:rPr>
                <w:rFonts w:ascii="Times New Roman" w:hAnsi="Times New Roman"/>
                <w:sz w:val="22"/>
                <w:szCs w:val="22"/>
              </w:rPr>
              <w:t>536</w:t>
            </w:r>
            <w:r>
              <w:rPr>
                <w:rFonts w:ascii="Times New Roman" w:hAnsi="Times New Roman"/>
                <w:sz w:val="22"/>
                <w:szCs w:val="22"/>
                <w:lang w:val="en-US"/>
              </w:rPr>
              <w:t xml:space="preserve"> </w:t>
            </w:r>
            <w:r>
              <w:rPr>
                <w:rFonts w:ascii="Times New Roman" w:hAnsi="Times New Roman"/>
                <w:sz w:val="22"/>
                <w:szCs w:val="22"/>
              </w:rPr>
              <w:t>630</w:t>
            </w:r>
          </w:p>
        </w:tc>
        <w:tc>
          <w:tcPr>
            <w:tcW w:w="1418" w:type="dxa"/>
            <w:vAlign w:val="bottom"/>
          </w:tcPr>
          <w:p w:rsidR="00000000" w:rsidRDefault="003E498D">
            <w:pPr>
              <w:contextualSpacing/>
              <w:rPr>
                <w:rFonts w:ascii="Times New Roman" w:hAnsi="Times New Roman"/>
                <w:sz w:val="22"/>
                <w:szCs w:val="22"/>
              </w:rPr>
            </w:pPr>
            <w:r>
              <w:rPr>
                <w:rFonts w:ascii="Times New Roman" w:hAnsi="Times New Roman"/>
                <w:sz w:val="22"/>
                <w:szCs w:val="22"/>
              </w:rPr>
              <w:t>14</w:t>
            </w:r>
            <w:r>
              <w:rPr>
                <w:rFonts w:ascii="Times New Roman" w:hAnsi="Times New Roman"/>
                <w:sz w:val="22"/>
                <w:szCs w:val="22"/>
                <w:lang w:val="en-US"/>
              </w:rPr>
              <w:t xml:space="preserve"> </w:t>
            </w:r>
            <w:r>
              <w:rPr>
                <w:rFonts w:ascii="Times New Roman" w:hAnsi="Times New Roman"/>
                <w:sz w:val="22"/>
                <w:szCs w:val="22"/>
              </w:rPr>
              <w:t>372</w:t>
            </w:r>
            <w:r>
              <w:rPr>
                <w:rFonts w:ascii="Times New Roman" w:hAnsi="Times New Roman"/>
                <w:sz w:val="22"/>
                <w:szCs w:val="22"/>
                <w:lang w:val="en-US"/>
              </w:rPr>
              <w:t xml:space="preserve"> </w:t>
            </w:r>
            <w:r>
              <w:rPr>
                <w:rFonts w:ascii="Times New Roman" w:hAnsi="Times New Roman"/>
                <w:sz w:val="22"/>
                <w:szCs w:val="22"/>
              </w:rPr>
              <w:t>179</w:t>
            </w:r>
          </w:p>
        </w:tc>
        <w:tc>
          <w:tcPr>
            <w:tcW w:w="1447" w:type="dxa"/>
          </w:tcPr>
          <w:p w:rsidR="00000000" w:rsidRDefault="003E498D">
            <w:pPr>
              <w:pStyle w:val="NoSpacing"/>
              <w:contextualSpacing/>
              <w:jc w:val="both"/>
              <w:rPr>
                <w:rFonts w:ascii="Times New Roman" w:hAnsi="Times New Roman"/>
                <w:spacing w:val="1"/>
              </w:rPr>
            </w:pPr>
            <w:r>
              <w:rPr>
                <w:rFonts w:ascii="Times New Roman" w:hAnsi="Times New Roman"/>
                <w:spacing w:val="1"/>
                <w:lang w:val="en-US"/>
              </w:rPr>
              <w:t xml:space="preserve">  </w:t>
            </w:r>
            <w:r>
              <w:rPr>
                <w:rFonts w:ascii="Times New Roman" w:hAnsi="Times New Roman"/>
                <w:spacing w:val="1"/>
              </w:rPr>
              <w:t>9</w:t>
            </w:r>
            <w:r>
              <w:rPr>
                <w:rFonts w:ascii="Times New Roman" w:hAnsi="Times New Roman"/>
                <w:spacing w:val="1"/>
                <w:lang w:val="en-US"/>
              </w:rPr>
              <w:t xml:space="preserve"> </w:t>
            </w:r>
            <w:r>
              <w:rPr>
                <w:rFonts w:ascii="Times New Roman" w:hAnsi="Times New Roman"/>
                <w:spacing w:val="1"/>
              </w:rPr>
              <w:t>952</w:t>
            </w:r>
            <w:r>
              <w:rPr>
                <w:rFonts w:ascii="Times New Roman" w:hAnsi="Times New Roman"/>
                <w:spacing w:val="1"/>
                <w:lang w:val="en-US"/>
              </w:rPr>
              <w:t xml:space="preserve"> </w:t>
            </w:r>
            <w:r>
              <w:rPr>
                <w:rFonts w:ascii="Times New Roman" w:hAnsi="Times New Roman"/>
                <w:spacing w:val="1"/>
              </w:rPr>
              <w:t>700</w:t>
            </w:r>
          </w:p>
        </w:tc>
        <w:tc>
          <w:tcPr>
            <w:tcW w:w="1386" w:type="dxa"/>
          </w:tcPr>
          <w:p w:rsidR="00000000" w:rsidRDefault="003E498D">
            <w:pPr>
              <w:pStyle w:val="NoSpacing"/>
              <w:contextualSpacing/>
              <w:jc w:val="both"/>
              <w:rPr>
                <w:rFonts w:ascii="Times New Roman" w:hAnsi="Times New Roman"/>
                <w:spacing w:val="1"/>
              </w:rPr>
            </w:pPr>
            <w:r>
              <w:rPr>
                <w:rFonts w:ascii="Times New Roman" w:hAnsi="Times New Roman"/>
                <w:spacing w:val="1"/>
              </w:rPr>
              <w:t>10</w:t>
            </w:r>
            <w:r>
              <w:rPr>
                <w:rFonts w:ascii="Times New Roman" w:hAnsi="Times New Roman"/>
                <w:spacing w:val="1"/>
                <w:lang w:val="en-US"/>
              </w:rPr>
              <w:t xml:space="preserve"> </w:t>
            </w:r>
            <w:r>
              <w:rPr>
                <w:rFonts w:ascii="Times New Roman" w:hAnsi="Times New Roman"/>
                <w:spacing w:val="1"/>
              </w:rPr>
              <w:t>519</w:t>
            </w:r>
            <w:r>
              <w:rPr>
                <w:rFonts w:ascii="Times New Roman" w:hAnsi="Times New Roman"/>
                <w:spacing w:val="1"/>
                <w:lang w:val="en-US"/>
              </w:rPr>
              <w:t xml:space="preserve"> </w:t>
            </w:r>
            <w:r>
              <w:rPr>
                <w:rFonts w:ascii="Times New Roman" w:hAnsi="Times New Roman"/>
                <w:spacing w:val="1"/>
              </w:rPr>
              <w:t>032</w:t>
            </w:r>
          </w:p>
        </w:tc>
        <w:tc>
          <w:tcPr>
            <w:tcW w:w="1275" w:type="dxa"/>
          </w:tcPr>
          <w:p w:rsidR="00000000" w:rsidRDefault="003E498D">
            <w:pPr>
              <w:pStyle w:val="NoSpacing"/>
              <w:contextualSpacing/>
              <w:jc w:val="both"/>
              <w:rPr>
                <w:rFonts w:ascii="Times New Roman" w:hAnsi="Times New Roman"/>
                <w:spacing w:val="1"/>
              </w:rPr>
            </w:pPr>
            <w:r>
              <w:rPr>
                <w:rFonts w:ascii="Times New Roman" w:hAnsi="Times New Roman"/>
                <w:spacing w:val="1"/>
              </w:rPr>
              <w:t>3</w:t>
            </w:r>
            <w:r>
              <w:rPr>
                <w:rFonts w:ascii="Times New Roman" w:hAnsi="Times New Roman"/>
                <w:spacing w:val="1"/>
                <w:lang w:val="en-US"/>
              </w:rPr>
              <w:t xml:space="preserve"> </w:t>
            </w:r>
            <w:r>
              <w:rPr>
                <w:rFonts w:ascii="Times New Roman" w:hAnsi="Times New Roman"/>
                <w:spacing w:val="1"/>
              </w:rPr>
              <w:t>583</w:t>
            </w:r>
            <w:r>
              <w:rPr>
                <w:rFonts w:ascii="Times New Roman" w:hAnsi="Times New Roman"/>
                <w:spacing w:val="1"/>
                <w:lang w:val="en-US"/>
              </w:rPr>
              <w:t xml:space="preserve"> </w:t>
            </w:r>
            <w:r>
              <w:rPr>
                <w:rFonts w:ascii="Times New Roman" w:hAnsi="Times New Roman"/>
                <w:spacing w:val="1"/>
              </w:rPr>
              <w:t>930</w:t>
            </w:r>
          </w:p>
        </w:tc>
        <w:tc>
          <w:tcPr>
            <w:tcW w:w="1386" w:type="dxa"/>
          </w:tcPr>
          <w:p w:rsidR="00000000" w:rsidRDefault="003E498D">
            <w:pPr>
              <w:pStyle w:val="NoSpacing"/>
              <w:contextualSpacing/>
              <w:jc w:val="both"/>
              <w:rPr>
                <w:rFonts w:ascii="Times New Roman" w:hAnsi="Times New Roman"/>
                <w:spacing w:val="1"/>
              </w:rPr>
            </w:pPr>
            <w:r>
              <w:rPr>
                <w:rFonts w:ascii="Times New Roman" w:hAnsi="Times New Roman"/>
                <w:spacing w:val="1"/>
              </w:rPr>
              <w:t>3</w:t>
            </w:r>
            <w:r>
              <w:rPr>
                <w:rFonts w:ascii="Times New Roman" w:hAnsi="Times New Roman"/>
                <w:spacing w:val="1"/>
                <w:lang w:val="en-US"/>
              </w:rPr>
              <w:t xml:space="preserve"> </w:t>
            </w:r>
            <w:r>
              <w:rPr>
                <w:rFonts w:ascii="Times New Roman" w:hAnsi="Times New Roman"/>
                <w:spacing w:val="1"/>
              </w:rPr>
              <w:t>853</w:t>
            </w:r>
            <w:r>
              <w:rPr>
                <w:rFonts w:ascii="Times New Roman" w:hAnsi="Times New Roman"/>
                <w:spacing w:val="1"/>
                <w:lang w:val="en-US"/>
              </w:rPr>
              <w:t xml:space="preserve"> </w:t>
            </w:r>
            <w:r>
              <w:rPr>
                <w:rFonts w:ascii="Times New Roman" w:hAnsi="Times New Roman"/>
                <w:spacing w:val="1"/>
              </w:rPr>
              <w:t>147</w:t>
            </w:r>
          </w:p>
        </w:tc>
      </w:tr>
    </w:tbl>
    <w:p w:rsidR="00000000" w:rsidRDefault="003E498D">
      <w:pPr>
        <w:contextualSpacing/>
        <w:jc w:val="both"/>
        <w:rPr>
          <w:rFonts w:ascii="Times New Roman" w:hAnsi="Times New Roman"/>
          <w:bCs/>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Съгласно представените данни, за 2009 г. и 2011 г. реализираният тираж надвишава броя на доставения. По отношение общо реализиран тираж </w:t>
      </w:r>
      <w:r>
        <w:rPr>
          <w:rFonts w:ascii="Times New Roman" w:hAnsi="Times New Roman"/>
          <w:sz w:val="26"/>
          <w:szCs w:val="26"/>
        </w:rPr>
        <w:t xml:space="preserve">за периода е налице незначително намаление (с 7,9 %) през 2011 г., спрямо 2009 г., формирано основно от спад на реализирания брой национални седмичници през 2011 г.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От Групата само „Братя Герини Прес“ ЕООД е </w:t>
      </w:r>
      <w:r>
        <w:rPr>
          <w:rFonts w:ascii="Times New Roman" w:hAnsi="Times New Roman"/>
          <w:b/>
          <w:sz w:val="26"/>
          <w:szCs w:val="26"/>
        </w:rPr>
        <w:t>генерален дистрибутор</w:t>
      </w:r>
      <w:r>
        <w:rPr>
          <w:rFonts w:ascii="Times New Roman" w:hAnsi="Times New Roman"/>
          <w:sz w:val="26"/>
          <w:szCs w:val="26"/>
        </w:rPr>
        <w:t xml:space="preserve"> на специализираните изда</w:t>
      </w:r>
      <w:r>
        <w:rPr>
          <w:rFonts w:ascii="Times New Roman" w:hAnsi="Times New Roman"/>
          <w:sz w:val="26"/>
          <w:szCs w:val="26"/>
        </w:rPr>
        <w:t xml:space="preserve">ния „Цветя и дом“, „Къща и градина“, „Къщите на хората“ и „Галерия бродерия“.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Като свои основни конкуренти Групата посочва Агенция Стрела ЕООД, „НАР“ ЕАД, „Оларт“ ЕООД, „Прес“ ЕООД, Сенатор Трейдинг“ ЕООД.</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Съдружници към момента в</w:t>
      </w:r>
      <w:r>
        <w:rPr>
          <w:rFonts w:ascii="Times New Roman" w:hAnsi="Times New Roman"/>
          <w:b/>
          <w:sz w:val="26"/>
          <w:szCs w:val="26"/>
        </w:rPr>
        <w:t xml:space="preserve"> „Национална дистрибуци</w:t>
      </w:r>
      <w:r>
        <w:rPr>
          <w:rFonts w:ascii="Times New Roman" w:hAnsi="Times New Roman"/>
          <w:b/>
          <w:sz w:val="26"/>
          <w:szCs w:val="26"/>
        </w:rPr>
        <w:t>я“ ООД, Пловдив /ЕИК 121517735/</w:t>
      </w:r>
      <w:r>
        <w:rPr>
          <w:rFonts w:ascii="Times New Roman" w:hAnsi="Times New Roman"/>
          <w:sz w:val="26"/>
          <w:szCs w:val="26"/>
        </w:rPr>
        <w:t xml:space="preserve"> са „Братя Герини Прес“ ЕООД (15 %), Петър Герин (35 %),  Сенатор ООД (25 %) и неговият управител Цветан Ангелов (25 %)</w:t>
      </w:r>
      <w:r>
        <w:rPr>
          <w:rStyle w:val="FootnoteReference"/>
          <w:rFonts w:ascii="Times New Roman" w:hAnsi="Times New Roman"/>
          <w:sz w:val="26"/>
          <w:szCs w:val="26"/>
        </w:rPr>
        <w:footnoteReference w:id="24"/>
      </w:r>
      <w:r>
        <w:rPr>
          <w:rFonts w:ascii="Times New Roman" w:hAnsi="Times New Roman"/>
          <w:sz w:val="26"/>
          <w:szCs w:val="26"/>
        </w:rPr>
        <w:t xml:space="preserve">.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Дружеството е разпространител на едро на печатни издания, които закупува директно от печатниците на из</w:t>
      </w:r>
      <w:r>
        <w:rPr>
          <w:rFonts w:ascii="Times New Roman" w:hAnsi="Times New Roman"/>
          <w:sz w:val="26"/>
          <w:szCs w:val="26"/>
        </w:rPr>
        <w:t xml:space="preserve">дателите, след което ги транспортира до своето депо на рампата и ги разпределя на разпространители, с които има търговски взаимоотношения. Дружеството няма собствени/наети павилиони, чрез които да реализира издания на дребно. </w:t>
      </w:r>
    </w:p>
    <w:p w:rsidR="00000000" w:rsidRDefault="003E498D">
      <w:pPr>
        <w:pStyle w:val="NoSpacing"/>
        <w:contextualSpacing/>
        <w:jc w:val="both"/>
        <w:rPr>
          <w:rFonts w:ascii="Times New Roman" w:hAnsi="Times New Roman"/>
          <w:spacing w:val="1"/>
          <w:sz w:val="26"/>
          <w:szCs w:val="26"/>
          <w:lang w:eastAsia="bg-BG"/>
        </w:rPr>
      </w:pPr>
      <w:r>
        <w:rPr>
          <w:rFonts w:ascii="Times New Roman" w:hAnsi="Times New Roman"/>
          <w:sz w:val="26"/>
          <w:szCs w:val="26"/>
        </w:rPr>
        <w:lastRenderedPageBreak/>
        <w:tab/>
      </w:r>
      <w:r>
        <w:rPr>
          <w:rFonts w:ascii="Times New Roman" w:hAnsi="Times New Roman"/>
          <w:sz w:val="26"/>
          <w:szCs w:val="26"/>
        </w:rPr>
        <w:t>Таблица № 14 съдържа информа</w:t>
      </w:r>
      <w:r>
        <w:rPr>
          <w:rFonts w:ascii="Times New Roman" w:hAnsi="Times New Roman"/>
          <w:sz w:val="26"/>
          <w:szCs w:val="26"/>
        </w:rPr>
        <w:t>ция за доставения и реализиран тираж (в бр.) на национални вестници, в  т.ч. поотделно за ежедневници и седмичници.</w:t>
      </w:r>
    </w:p>
    <w:p w:rsidR="00000000" w:rsidRDefault="003E498D">
      <w:pPr>
        <w:pStyle w:val="NoSpacing"/>
        <w:ind w:left="6372"/>
        <w:contextualSpacing/>
        <w:jc w:val="right"/>
        <w:rPr>
          <w:rFonts w:ascii="Times New Roman" w:hAnsi="Times New Roman"/>
          <w:spacing w:val="1"/>
          <w:sz w:val="26"/>
          <w:szCs w:val="26"/>
          <w:lang w:eastAsia="bg-BG"/>
        </w:rPr>
      </w:pPr>
      <w:r>
        <w:rPr>
          <w:rFonts w:ascii="Times New Roman" w:hAnsi="Times New Roman"/>
          <w:spacing w:val="1"/>
          <w:sz w:val="26"/>
          <w:szCs w:val="26"/>
          <w:lang w:eastAsia="bg-BG"/>
        </w:rPr>
        <w:t>Таблица № 14</w:t>
      </w:r>
      <w:r>
        <w:rPr>
          <w:rFonts w:ascii="Times New Roman" w:hAnsi="Times New Roman"/>
          <w:kern w:val="16"/>
          <w:sz w:val="26"/>
          <w:szCs w:val="26"/>
          <w:lang w:eastAsia="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
        <w:gridCol w:w="1417"/>
        <w:gridCol w:w="1431"/>
        <w:gridCol w:w="1292"/>
        <w:gridCol w:w="1401"/>
        <w:gridCol w:w="1417"/>
        <w:gridCol w:w="1418"/>
      </w:tblGrid>
      <w:tr w:rsidR="00000000">
        <w:tc>
          <w:tcPr>
            <w:tcW w:w="1088" w:type="dxa"/>
            <w:vMerge w:val="restart"/>
            <w:vAlign w:val="center"/>
          </w:tcPr>
          <w:p w:rsidR="00000000" w:rsidRDefault="003E498D">
            <w:pPr>
              <w:pStyle w:val="NoSpacing"/>
              <w:contextualSpacing/>
              <w:jc w:val="center"/>
              <w:rPr>
                <w:rFonts w:ascii="Times New Roman" w:hAnsi="Times New Roman"/>
                <w:spacing w:val="1"/>
              </w:rPr>
            </w:pPr>
            <w:r>
              <w:rPr>
                <w:rFonts w:ascii="Times New Roman" w:hAnsi="Times New Roman"/>
                <w:spacing w:val="1"/>
              </w:rPr>
              <w:t>Година</w:t>
            </w:r>
          </w:p>
        </w:tc>
        <w:tc>
          <w:tcPr>
            <w:tcW w:w="8376" w:type="dxa"/>
            <w:gridSpan w:val="6"/>
          </w:tcPr>
          <w:p w:rsidR="00000000" w:rsidRDefault="003E498D">
            <w:pPr>
              <w:pStyle w:val="NoSpacing"/>
              <w:contextualSpacing/>
              <w:jc w:val="center"/>
              <w:rPr>
                <w:rFonts w:ascii="Times New Roman" w:hAnsi="Times New Roman"/>
                <w:spacing w:val="1"/>
              </w:rPr>
            </w:pPr>
            <w:r>
              <w:rPr>
                <w:rFonts w:ascii="Times New Roman" w:hAnsi="Times New Roman"/>
                <w:spacing w:val="1"/>
              </w:rPr>
              <w:t>Национални вестници- тираж /бр./</w:t>
            </w:r>
          </w:p>
        </w:tc>
      </w:tr>
      <w:tr w:rsidR="00000000">
        <w:tc>
          <w:tcPr>
            <w:tcW w:w="1088" w:type="dxa"/>
            <w:vMerge/>
          </w:tcPr>
          <w:p w:rsidR="00000000" w:rsidRDefault="003E498D">
            <w:pPr>
              <w:pStyle w:val="NoSpacing"/>
              <w:contextualSpacing/>
              <w:jc w:val="both"/>
              <w:rPr>
                <w:rFonts w:ascii="Times New Roman" w:hAnsi="Times New Roman"/>
                <w:spacing w:val="1"/>
              </w:rPr>
            </w:pPr>
          </w:p>
        </w:tc>
        <w:tc>
          <w:tcPr>
            <w:tcW w:w="2848" w:type="dxa"/>
            <w:gridSpan w:val="2"/>
          </w:tcPr>
          <w:p w:rsidR="00000000" w:rsidRDefault="003E498D">
            <w:pPr>
              <w:pStyle w:val="NoSpacing"/>
              <w:contextualSpacing/>
              <w:jc w:val="center"/>
              <w:rPr>
                <w:rFonts w:ascii="Times New Roman" w:hAnsi="Times New Roman"/>
                <w:spacing w:val="1"/>
              </w:rPr>
            </w:pPr>
            <w:r>
              <w:rPr>
                <w:rFonts w:ascii="Times New Roman" w:hAnsi="Times New Roman"/>
                <w:spacing w:val="1"/>
              </w:rPr>
              <w:t>общо</w:t>
            </w:r>
          </w:p>
        </w:tc>
        <w:tc>
          <w:tcPr>
            <w:tcW w:w="2693" w:type="dxa"/>
            <w:gridSpan w:val="2"/>
          </w:tcPr>
          <w:p w:rsidR="00000000" w:rsidRDefault="003E498D">
            <w:pPr>
              <w:pStyle w:val="NoSpacing"/>
              <w:contextualSpacing/>
              <w:jc w:val="center"/>
              <w:rPr>
                <w:rFonts w:ascii="Times New Roman" w:hAnsi="Times New Roman"/>
                <w:spacing w:val="1"/>
              </w:rPr>
            </w:pPr>
            <w:r>
              <w:rPr>
                <w:rFonts w:ascii="Times New Roman" w:hAnsi="Times New Roman"/>
                <w:spacing w:val="1"/>
              </w:rPr>
              <w:t>ежедневници</w:t>
            </w:r>
          </w:p>
        </w:tc>
        <w:tc>
          <w:tcPr>
            <w:tcW w:w="2835" w:type="dxa"/>
            <w:gridSpan w:val="2"/>
          </w:tcPr>
          <w:p w:rsidR="00000000" w:rsidRDefault="003E498D">
            <w:pPr>
              <w:pStyle w:val="NoSpacing"/>
              <w:contextualSpacing/>
              <w:jc w:val="center"/>
              <w:rPr>
                <w:rFonts w:ascii="Times New Roman" w:hAnsi="Times New Roman"/>
                <w:spacing w:val="1"/>
              </w:rPr>
            </w:pPr>
            <w:r>
              <w:rPr>
                <w:rFonts w:ascii="Times New Roman" w:hAnsi="Times New Roman"/>
                <w:spacing w:val="1"/>
              </w:rPr>
              <w:t>седмичници</w:t>
            </w:r>
          </w:p>
        </w:tc>
      </w:tr>
      <w:tr w:rsidR="00000000">
        <w:tc>
          <w:tcPr>
            <w:tcW w:w="1088" w:type="dxa"/>
            <w:vMerge/>
          </w:tcPr>
          <w:p w:rsidR="00000000" w:rsidRDefault="003E498D">
            <w:pPr>
              <w:pStyle w:val="NoSpacing"/>
              <w:contextualSpacing/>
              <w:jc w:val="both"/>
              <w:rPr>
                <w:rFonts w:ascii="Times New Roman" w:hAnsi="Times New Roman"/>
                <w:spacing w:val="1"/>
              </w:rPr>
            </w:pPr>
          </w:p>
        </w:tc>
        <w:tc>
          <w:tcPr>
            <w:tcW w:w="1417"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доставен</w:t>
            </w:r>
          </w:p>
        </w:tc>
        <w:tc>
          <w:tcPr>
            <w:tcW w:w="1431"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реализиран</w:t>
            </w:r>
          </w:p>
        </w:tc>
        <w:tc>
          <w:tcPr>
            <w:tcW w:w="1292"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доставен</w:t>
            </w:r>
          </w:p>
        </w:tc>
        <w:tc>
          <w:tcPr>
            <w:tcW w:w="1401"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реализиран</w:t>
            </w:r>
          </w:p>
        </w:tc>
        <w:tc>
          <w:tcPr>
            <w:tcW w:w="1417"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доставен</w:t>
            </w:r>
          </w:p>
        </w:tc>
        <w:tc>
          <w:tcPr>
            <w:tcW w:w="1418"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р</w:t>
            </w:r>
            <w:r>
              <w:rPr>
                <w:rFonts w:ascii="Times New Roman" w:hAnsi="Times New Roman"/>
                <w:spacing w:val="1"/>
              </w:rPr>
              <w:t>еализиран</w:t>
            </w:r>
          </w:p>
        </w:tc>
      </w:tr>
      <w:tr w:rsidR="00000000">
        <w:tc>
          <w:tcPr>
            <w:tcW w:w="1088" w:type="dxa"/>
          </w:tcPr>
          <w:p w:rsidR="00000000" w:rsidRDefault="003E498D">
            <w:pPr>
              <w:pStyle w:val="NoSpacing"/>
              <w:contextualSpacing/>
              <w:rPr>
                <w:rFonts w:ascii="Times New Roman" w:hAnsi="Times New Roman"/>
                <w:spacing w:val="1"/>
              </w:rPr>
            </w:pPr>
            <w:r>
              <w:rPr>
                <w:rFonts w:ascii="Times New Roman" w:hAnsi="Times New Roman"/>
                <w:spacing w:val="1"/>
              </w:rPr>
              <w:t>2009г.</w:t>
            </w:r>
          </w:p>
        </w:tc>
        <w:tc>
          <w:tcPr>
            <w:tcW w:w="1417"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31"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92"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01"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17"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18"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r w:rsidR="00000000">
        <w:tc>
          <w:tcPr>
            <w:tcW w:w="1088" w:type="dxa"/>
          </w:tcPr>
          <w:p w:rsidR="00000000" w:rsidRDefault="003E498D">
            <w:pPr>
              <w:pStyle w:val="NoSpacing"/>
              <w:contextualSpacing/>
              <w:rPr>
                <w:rFonts w:ascii="Times New Roman" w:hAnsi="Times New Roman"/>
                <w:spacing w:val="1"/>
              </w:rPr>
            </w:pPr>
            <w:r>
              <w:rPr>
                <w:rFonts w:ascii="Times New Roman" w:hAnsi="Times New Roman"/>
                <w:spacing w:val="1"/>
              </w:rPr>
              <w:t>2010г.</w:t>
            </w:r>
          </w:p>
        </w:tc>
        <w:tc>
          <w:tcPr>
            <w:tcW w:w="1417"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31"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92"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01"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17"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18"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r w:rsidR="00000000">
        <w:tc>
          <w:tcPr>
            <w:tcW w:w="1088" w:type="dxa"/>
          </w:tcPr>
          <w:p w:rsidR="00000000" w:rsidRDefault="003E498D">
            <w:pPr>
              <w:pStyle w:val="NoSpacing"/>
              <w:contextualSpacing/>
              <w:rPr>
                <w:rFonts w:ascii="Times New Roman" w:hAnsi="Times New Roman"/>
                <w:spacing w:val="1"/>
              </w:rPr>
            </w:pPr>
            <w:r>
              <w:rPr>
                <w:rFonts w:ascii="Times New Roman" w:hAnsi="Times New Roman"/>
                <w:spacing w:val="1"/>
              </w:rPr>
              <w:t>2011г.</w:t>
            </w:r>
          </w:p>
        </w:tc>
        <w:tc>
          <w:tcPr>
            <w:tcW w:w="1417"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31"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92"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01"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17"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418"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bl>
    <w:p w:rsidR="00000000" w:rsidRDefault="003E498D">
      <w:pPr>
        <w:contextualSpacing/>
        <w:jc w:val="both"/>
        <w:rPr>
          <w:rFonts w:ascii="Times New Roman" w:hAnsi="Times New Roman"/>
          <w:sz w:val="26"/>
          <w:szCs w:val="26"/>
        </w:rPr>
      </w:pP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Най-голям дял в </w:t>
      </w:r>
      <w:r>
        <w:rPr>
          <w:rFonts w:ascii="Times New Roman" w:hAnsi="Times New Roman"/>
          <w:i/>
          <w:sz w:val="26"/>
          <w:szCs w:val="26"/>
        </w:rPr>
        <w:t>доставения тираж</w:t>
      </w:r>
      <w:r>
        <w:rPr>
          <w:rFonts w:ascii="Times New Roman" w:hAnsi="Times New Roman"/>
          <w:sz w:val="26"/>
          <w:szCs w:val="26"/>
        </w:rPr>
        <w:t xml:space="preserve"> имат националните седмичници в границите 74-78 %, спрямо общо</w:t>
      </w:r>
      <w:r>
        <w:rPr>
          <w:rFonts w:ascii="Times New Roman" w:hAnsi="Times New Roman"/>
          <w:sz w:val="26"/>
          <w:szCs w:val="26"/>
        </w:rPr>
        <w:t xml:space="preserve"> доставения тираж (вкл. вестници и списания). Предоставените данни водят до извода, че реализираните от дружеството тиражи бележат увеличение за периода, като най-съществено се откроява през 2010 г. Нарастването на общо реализирания тираж национални вестни</w:t>
      </w:r>
      <w:r>
        <w:rPr>
          <w:rFonts w:ascii="Times New Roman" w:hAnsi="Times New Roman"/>
          <w:sz w:val="26"/>
          <w:szCs w:val="26"/>
        </w:rPr>
        <w:t xml:space="preserve">ци през 2010 г. е почти два пъти и половина, спрямо 2009 г. През 2011 г. техният брой е по-малко в сравнение с 2010 г., което се дължи на намалението в количеството реализиран тираж на националните седмичници, но отново значително превишава този през 2009 </w:t>
      </w:r>
      <w:r>
        <w:rPr>
          <w:rFonts w:ascii="Times New Roman" w:hAnsi="Times New Roman"/>
          <w:sz w:val="26"/>
          <w:szCs w:val="26"/>
        </w:rPr>
        <w:t xml:space="preserve">г.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Като свои основни конкуренти дружеството посочва: „Агенция Стрела“ ЕООД, „НАР“ ЕАД, „Оларт“  ЕООД, „Прес“ ЕООД.</w:t>
      </w:r>
    </w:p>
    <w:p w:rsidR="00000000" w:rsidRDefault="003E498D">
      <w:pPr>
        <w:pStyle w:val="NoSpacing"/>
        <w:ind w:firstLine="708"/>
        <w:contextualSpacing/>
        <w:jc w:val="both"/>
        <w:rPr>
          <w:rFonts w:ascii="Times New Roman" w:hAnsi="Times New Roman"/>
          <w:b/>
          <w:sz w:val="26"/>
          <w:szCs w:val="26"/>
        </w:rPr>
      </w:pPr>
    </w:p>
    <w:p w:rsidR="00000000" w:rsidRDefault="003E498D">
      <w:pPr>
        <w:pStyle w:val="NoSpacing"/>
        <w:ind w:firstLine="708"/>
        <w:contextualSpacing/>
        <w:jc w:val="both"/>
        <w:rPr>
          <w:rFonts w:ascii="Times New Roman" w:hAnsi="Times New Roman"/>
          <w:b/>
          <w:sz w:val="26"/>
          <w:szCs w:val="26"/>
        </w:rPr>
      </w:pPr>
      <w:r>
        <w:rPr>
          <w:rFonts w:ascii="Times New Roman" w:hAnsi="Times New Roman"/>
          <w:b/>
          <w:sz w:val="26"/>
          <w:szCs w:val="26"/>
        </w:rPr>
        <w:t xml:space="preserve">Полиграфснаб АД, София /ЕИК 121008818/ </w:t>
      </w:r>
      <w:r>
        <w:rPr>
          <w:rFonts w:ascii="Times New Roman" w:hAnsi="Times New Roman"/>
          <w:sz w:val="26"/>
          <w:szCs w:val="26"/>
        </w:rPr>
        <w:t>се контролира от „Полиграфкомерс-97“ АД , което притежава 99,7% от капитала, а то от своя страна от</w:t>
      </w:r>
      <w:r>
        <w:rPr>
          <w:rFonts w:ascii="Times New Roman" w:hAnsi="Times New Roman"/>
          <w:sz w:val="26"/>
          <w:szCs w:val="26"/>
        </w:rPr>
        <w:t xml:space="preserve"> „Мерит Инт“ ООД, Бахамски о-ви ( 98,33%).  „Полиграфкомерс-97“ АД отдава под наем  помещения, складови и производствени площи.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Основната дейност на „Полиграфснаб“ АД е търговия с материали за полиграфическата и издателска дейност. От средата на 2010г. др</w:t>
      </w:r>
      <w:r>
        <w:rPr>
          <w:rFonts w:ascii="Times New Roman" w:hAnsi="Times New Roman"/>
          <w:sz w:val="26"/>
          <w:szCs w:val="26"/>
        </w:rPr>
        <w:t>ужеството  започва да разпространява вестници и списания от всички тематични групи, с различна периодика на издаване, вкл. и регионалния в. Хасковска Марица по направление София-Хасково, като  за територията на гр. Хасково дружеството разполага със собстве</w:t>
      </w:r>
      <w:r>
        <w:rPr>
          <w:rFonts w:ascii="Times New Roman" w:hAnsi="Times New Roman"/>
          <w:sz w:val="26"/>
          <w:szCs w:val="26"/>
        </w:rPr>
        <w:t xml:space="preserve">ни и/или наети обекти за продажба на дребно – 26 бр. /за 2010г./ и 17 бр.- за 2011г.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Дружеството купува печатни издания обичайно от издателствата, а когато те работят със свой основен дистрибутор – от него. „Полиграфснаб“ АД получава съответните издания о</w:t>
      </w:r>
      <w:r>
        <w:rPr>
          <w:rFonts w:ascii="Times New Roman" w:hAnsi="Times New Roman"/>
          <w:sz w:val="26"/>
          <w:szCs w:val="26"/>
        </w:rPr>
        <w:t>т рампата на ИПК Родина, печатница София и печатница Дружба, както и от други по-малки печатници. Когато изданието не се отпечатва в столицата, то се получава от търговския склад на издателството или съответният издател доставя за своя сметка тиражите на н</w:t>
      </w:r>
      <w:r>
        <w:rPr>
          <w:rFonts w:ascii="Times New Roman" w:hAnsi="Times New Roman"/>
          <w:sz w:val="26"/>
          <w:szCs w:val="26"/>
        </w:rPr>
        <w:t xml:space="preserve">якоя от горепосочените столични печатници.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Като свои конкуренти, опериращи на дребно в Хасковски район, дружеството посочва: „Братя Герини –Прес“ ЕООД; „Прес“ ЕООД; „Минерал-98“ ООД; „Ками“ ЕТ; ЕТ „Хикмет Късмет Фейзи“; ЕТ „Радослав 2007“; „Ангел-М“ ЕООД.</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По същия маршрут разпространяват печатни издания „Братя Герини Прес“ ЕООД и „Агенция Стрела“ ЕООД.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lastRenderedPageBreak/>
        <w:t xml:space="preserve">„Полиграфснаб“ АД купува  част от изданията директно от издатели при следната ТО: „Дума-2008“ ЕООД (в. Дума -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„АС Медия“ АД (в. Република -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„Торнадо Медия“ ЕООД (в. Торнадо -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„Стандарт Нюз“ АД( в. Стандарт - </w:t>
      </w:r>
      <w:r>
        <w:rPr>
          <w:rFonts w:ascii="Times New Roman" w:hAnsi="Times New Roman"/>
        </w:rPr>
        <w:t>(...)</w:t>
      </w:r>
      <w:r>
        <w:rPr>
          <w:rFonts w:ascii="Times New Roman" w:hAnsi="Times New Roman"/>
        </w:rPr>
        <w:sym w:font="Symbol" w:char="F02A"/>
      </w:r>
      <w:r>
        <w:rPr>
          <w:rFonts w:ascii="Times New Roman" w:hAnsi="Times New Roman"/>
          <w:sz w:val="26"/>
          <w:szCs w:val="26"/>
        </w:rPr>
        <w:t>); „Кроз“ АД (в. Галерия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„Икономедиа“ АД (в. Капитал -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„Санома Блясък България“ АД (всички списания - </w:t>
      </w:r>
      <w:r>
        <w:rPr>
          <w:rFonts w:ascii="Times New Roman" w:hAnsi="Times New Roman"/>
        </w:rPr>
        <w:t>(...)</w:t>
      </w:r>
      <w:r>
        <w:rPr>
          <w:rFonts w:ascii="Times New Roman" w:hAnsi="Times New Roman"/>
        </w:rPr>
        <w:sym w:font="Symbol" w:char="F02A"/>
      </w:r>
      <w:r>
        <w:rPr>
          <w:rFonts w:ascii="Times New Roman" w:hAnsi="Times New Roman"/>
          <w:sz w:val="26"/>
          <w:szCs w:val="26"/>
        </w:rPr>
        <w:t>), или от определен от съответния издател г</w:t>
      </w:r>
      <w:r>
        <w:rPr>
          <w:rFonts w:ascii="Times New Roman" w:hAnsi="Times New Roman"/>
          <w:sz w:val="26"/>
          <w:szCs w:val="26"/>
        </w:rPr>
        <w:t>енерален негов дистрибутор – „Агенция Стрела“ ЕООД (за вестниците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за в. България днес -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и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за списанията) и „НАР“ ЕАД (в. Монитор -</w:t>
      </w:r>
      <w:r>
        <w:rPr>
          <w:rFonts w:ascii="Times New Roman" w:hAnsi="Times New Roman"/>
        </w:rPr>
        <w:t>(...)</w:t>
      </w:r>
      <w:r>
        <w:rPr>
          <w:rFonts w:ascii="Times New Roman" w:hAnsi="Times New Roman"/>
        </w:rPr>
        <w:sym w:font="Symbol" w:char="F02A"/>
      </w:r>
      <w:r>
        <w:rPr>
          <w:rFonts w:ascii="Times New Roman" w:hAnsi="Times New Roman"/>
          <w:sz w:val="26"/>
          <w:szCs w:val="26"/>
        </w:rPr>
        <w:t>, в. Телеграф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ТО; в. Сега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в. Уикенд - </w:t>
      </w:r>
      <w:r>
        <w:rPr>
          <w:rFonts w:ascii="Times New Roman" w:hAnsi="Times New Roman"/>
        </w:rPr>
        <w:t>(...)</w:t>
      </w:r>
      <w:r>
        <w:rPr>
          <w:rFonts w:ascii="Times New Roman" w:hAnsi="Times New Roman"/>
        </w:rPr>
        <w:sym w:font="Symbol" w:char="F02A"/>
      </w:r>
      <w:r>
        <w:rPr>
          <w:rFonts w:ascii="Times New Roman" w:hAnsi="Times New Roman"/>
          <w:sz w:val="26"/>
          <w:szCs w:val="26"/>
        </w:rPr>
        <w:t>). За анализирания период няма промя</w:t>
      </w:r>
      <w:r>
        <w:rPr>
          <w:rFonts w:ascii="Times New Roman" w:hAnsi="Times New Roman"/>
          <w:sz w:val="26"/>
          <w:szCs w:val="26"/>
        </w:rPr>
        <w:t xml:space="preserve">на в размера на предоставяните от издателите/разпространители на едро ТО на дружеството.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b/>
          <w:sz w:val="26"/>
          <w:szCs w:val="26"/>
        </w:rPr>
        <w:t>„</w:t>
      </w:r>
      <w:r>
        <w:rPr>
          <w:rFonts w:ascii="Times New Roman" w:hAnsi="Times New Roman"/>
          <w:sz w:val="26"/>
          <w:szCs w:val="26"/>
        </w:rPr>
        <w:t xml:space="preserve">Полиграфснаб“ АД има договорен допустим брак за нереализирана продукция със „Санома Блясък България“ (до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w:t>
      </w:r>
      <w:r>
        <w:rPr>
          <w:rFonts w:ascii="Times New Roman" w:hAnsi="Times New Roman"/>
          <w:sz w:val="26"/>
          <w:szCs w:val="26"/>
        </w:rPr>
        <w:t xml:space="preserve">), Агенция Стрела ЕООД (до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за в. Труд).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 кач</w:t>
      </w:r>
      <w:r>
        <w:rPr>
          <w:rFonts w:ascii="Times New Roman" w:hAnsi="Times New Roman"/>
          <w:sz w:val="26"/>
          <w:szCs w:val="26"/>
        </w:rPr>
        <w:t>еството си на „</w:t>
      </w:r>
      <w:r>
        <w:rPr>
          <w:rFonts w:ascii="Times New Roman" w:hAnsi="Times New Roman"/>
          <w:i/>
          <w:sz w:val="26"/>
          <w:szCs w:val="26"/>
        </w:rPr>
        <w:t>дистрибутор на едро“</w:t>
      </w:r>
      <w:r>
        <w:rPr>
          <w:rFonts w:ascii="Times New Roman" w:hAnsi="Times New Roman"/>
          <w:sz w:val="26"/>
          <w:szCs w:val="26"/>
        </w:rPr>
        <w:t xml:space="preserve"> продава печатни издания на: ЕТ Радослав 2007 г., търговец със собствени крайни пунктове изцяло в Хасковска област, като </w:t>
      </w:r>
      <w:r>
        <w:rPr>
          <w:rFonts w:ascii="Times New Roman" w:hAnsi="Times New Roman"/>
          <w:b/>
          <w:sz w:val="26"/>
          <w:szCs w:val="26"/>
        </w:rPr>
        <w:t>ТО</w:t>
      </w:r>
      <w:r>
        <w:rPr>
          <w:rFonts w:ascii="Times New Roman" w:hAnsi="Times New Roman"/>
          <w:sz w:val="26"/>
          <w:szCs w:val="26"/>
        </w:rPr>
        <w:t xml:space="preserve"> за всички издания, съгласно сключен между тях договор, е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от коричната цена на реализиранит</w:t>
      </w:r>
      <w:r>
        <w:rPr>
          <w:rFonts w:ascii="Times New Roman" w:hAnsi="Times New Roman"/>
          <w:sz w:val="26"/>
          <w:szCs w:val="26"/>
        </w:rPr>
        <w:t>е издания. Продажбите към този разпространител се реализират от м. февруари 2011 г. и представляват 2/3 от общия обем продажби от дейността по разпространението на печатни издания на Полиграфснаб. Минимално количество издания (под 1 % спрямо общите приходи</w:t>
      </w:r>
      <w:r>
        <w:rPr>
          <w:rFonts w:ascii="Times New Roman" w:hAnsi="Times New Roman"/>
          <w:sz w:val="26"/>
          <w:szCs w:val="26"/>
        </w:rPr>
        <w:t xml:space="preserve"> на Полиграфснаб) се доставят на „МДРЛ Сервиз“ ООД, дружество, притежаващо собствени пунктове в района на Ихтиман. Дружеството закупува и регионални издания (в. Хасковска Марица и в. Новинар Юг), като получава ТО в размер на </w:t>
      </w:r>
      <w:r>
        <w:rPr>
          <w:rFonts w:ascii="Times New Roman" w:hAnsi="Times New Roman"/>
        </w:rPr>
        <w:t>(...)</w:t>
      </w:r>
      <w:r>
        <w:rPr>
          <w:rFonts w:ascii="Times New Roman" w:hAnsi="Times New Roman"/>
        </w:rPr>
        <w:sym w:font="Symbol" w:char="F02A"/>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Тъй като приходите от ра</w:t>
      </w:r>
      <w:r>
        <w:rPr>
          <w:rFonts w:ascii="Times New Roman" w:hAnsi="Times New Roman"/>
          <w:sz w:val="26"/>
          <w:szCs w:val="26"/>
        </w:rPr>
        <w:t>зпространение на печатни издания на дружеството за 2010г. и 2011 г. са под 1 % спрямо общите му приходи от дейността, и същият осъществява тази дейност в ограничен географски обхват,  Комисията няма да прави по-нататъшна оценка на финансовите му показатели</w:t>
      </w:r>
      <w:r>
        <w:rPr>
          <w:rFonts w:ascii="Times New Roman" w:hAnsi="Times New Roman"/>
          <w:sz w:val="26"/>
          <w:szCs w:val="26"/>
        </w:rPr>
        <w:t xml:space="preserve">. </w:t>
      </w:r>
    </w:p>
    <w:p w:rsidR="00000000" w:rsidRDefault="003E498D">
      <w:pPr>
        <w:pStyle w:val="NoSpacing"/>
        <w:ind w:firstLine="708"/>
        <w:contextualSpacing/>
        <w:jc w:val="both"/>
        <w:rPr>
          <w:rFonts w:ascii="Times New Roman" w:hAnsi="Times New Roman"/>
          <w:b/>
          <w:sz w:val="26"/>
          <w:szCs w:val="26"/>
          <w:highlight w:val="yellow"/>
        </w:rPr>
      </w:pPr>
      <w:bookmarkStart w:id="13" w:name="_Toc340653768"/>
      <w:r>
        <w:rPr>
          <w:rFonts w:ascii="Times New Roman" w:hAnsi="Times New Roman"/>
          <w:sz w:val="26"/>
          <w:szCs w:val="26"/>
        </w:rPr>
        <w:t>Собственик на</w:t>
      </w:r>
      <w:r>
        <w:rPr>
          <w:rFonts w:ascii="Times New Roman" w:hAnsi="Times New Roman"/>
          <w:b/>
          <w:sz w:val="26"/>
          <w:szCs w:val="26"/>
        </w:rPr>
        <w:t xml:space="preserve"> Медика Прес</w:t>
      </w:r>
      <w:bookmarkEnd w:id="13"/>
      <w:r>
        <w:rPr>
          <w:rFonts w:ascii="Times New Roman" w:hAnsi="Times New Roman"/>
          <w:b/>
          <w:sz w:val="26"/>
          <w:szCs w:val="26"/>
        </w:rPr>
        <w:t xml:space="preserve"> ЕООД, София  /ЕИК 834053302/</w:t>
      </w:r>
      <w:r>
        <w:rPr>
          <w:rFonts w:ascii="Times New Roman" w:hAnsi="Times New Roman"/>
          <w:sz w:val="26"/>
          <w:szCs w:val="26"/>
        </w:rPr>
        <w:t xml:space="preserve"> е Димитър Димитров. Дружеството упражнява контрол върху „ММ Прес” ЕООД, Варна и „Преса” ЕООД, Варна с дейност разпространение на печата в областите </w:t>
      </w:r>
      <w:r>
        <w:rPr>
          <w:rFonts w:ascii="Times New Roman" w:hAnsi="Times New Roman"/>
        </w:rPr>
        <w:t>(...)</w:t>
      </w:r>
      <w:r>
        <w:rPr>
          <w:rFonts w:ascii="Times New Roman" w:hAnsi="Times New Roman"/>
        </w:rPr>
        <w:sym w:font="Symbol" w:char="F02A"/>
      </w:r>
    </w:p>
    <w:p w:rsidR="00000000" w:rsidRDefault="003E498D">
      <w:pPr>
        <w:pStyle w:val="Heading3"/>
        <w:contextualSpacing/>
        <w:rPr>
          <w:sz w:val="26"/>
          <w:szCs w:val="26"/>
        </w:rPr>
      </w:pPr>
      <w:bookmarkStart w:id="14" w:name="_Toc340653769"/>
      <w:r>
        <w:rPr>
          <w:sz w:val="26"/>
          <w:szCs w:val="26"/>
          <w:u w:val="none"/>
        </w:rPr>
        <w:t xml:space="preserve">4.2.3  Разпространители, опериращи в София </w:t>
      </w:r>
      <w:r>
        <w:rPr>
          <w:sz w:val="26"/>
          <w:szCs w:val="26"/>
          <w:u w:val="none"/>
        </w:rPr>
        <w:t>и Софийски регион</w:t>
      </w:r>
      <w:bookmarkEnd w:id="14"/>
    </w:p>
    <w:p w:rsidR="00000000" w:rsidRDefault="003E498D">
      <w:pPr>
        <w:pStyle w:val="NoSpacing"/>
        <w:ind w:firstLine="708"/>
        <w:contextualSpacing/>
        <w:jc w:val="both"/>
        <w:rPr>
          <w:rFonts w:ascii="Times New Roman" w:hAnsi="Times New Roman"/>
          <w:sz w:val="26"/>
          <w:szCs w:val="26"/>
        </w:rPr>
      </w:pPr>
      <w:bookmarkStart w:id="15" w:name="_Toc340653773"/>
      <w:bookmarkStart w:id="16" w:name="_Toc340653770"/>
      <w:r>
        <w:rPr>
          <w:rFonts w:ascii="Times New Roman" w:hAnsi="Times New Roman"/>
          <w:sz w:val="26"/>
          <w:szCs w:val="26"/>
        </w:rPr>
        <w:t xml:space="preserve">Съгласно представената с писмо изх. № 394/24.02.12 г. информация, върху </w:t>
      </w:r>
      <w:r>
        <w:rPr>
          <w:rFonts w:ascii="Times New Roman" w:hAnsi="Times New Roman"/>
          <w:b/>
          <w:sz w:val="26"/>
          <w:szCs w:val="26"/>
        </w:rPr>
        <w:t>Разпространение на печата</w:t>
      </w:r>
      <w:bookmarkEnd w:id="15"/>
      <w:r>
        <w:rPr>
          <w:rFonts w:ascii="Times New Roman" w:hAnsi="Times New Roman"/>
          <w:b/>
          <w:sz w:val="26"/>
          <w:szCs w:val="26"/>
        </w:rPr>
        <w:t xml:space="preserve"> АД, София</w:t>
      </w:r>
      <w:r>
        <w:rPr>
          <w:rFonts w:ascii="Times New Roman" w:hAnsi="Times New Roman"/>
          <w:sz w:val="26"/>
          <w:szCs w:val="26"/>
        </w:rPr>
        <w:t xml:space="preserve"> </w:t>
      </w:r>
      <w:r>
        <w:rPr>
          <w:rFonts w:ascii="Times New Roman" w:hAnsi="Times New Roman"/>
          <w:b/>
          <w:sz w:val="26"/>
          <w:szCs w:val="26"/>
        </w:rPr>
        <w:t>(РП) /ЕИК 121207277/</w:t>
      </w:r>
      <w:r>
        <w:rPr>
          <w:rFonts w:ascii="Times New Roman" w:hAnsi="Times New Roman"/>
          <w:sz w:val="26"/>
          <w:szCs w:val="26"/>
        </w:rPr>
        <w:t xml:space="preserve"> </w:t>
      </w:r>
      <w:r>
        <w:rPr>
          <w:rFonts w:ascii="Times New Roman" w:hAnsi="Times New Roman"/>
        </w:rPr>
        <w:t>(...)</w:t>
      </w:r>
      <w:r>
        <w:rPr>
          <w:rFonts w:ascii="Times New Roman" w:hAnsi="Times New Roman"/>
        </w:rPr>
        <w:sym w:font="Symbol" w:char="F02A"/>
      </w:r>
      <w:r>
        <w:rPr>
          <w:rStyle w:val="FootnoteReference"/>
          <w:rFonts w:ascii="Times New Roman" w:hAnsi="Times New Roman"/>
          <w:sz w:val="26"/>
          <w:szCs w:val="26"/>
        </w:rPr>
        <w:footnoteReference w:id="25"/>
      </w:r>
      <w:r>
        <w:rPr>
          <w:rFonts w:ascii="Times New Roman" w:hAnsi="Times New Roman"/>
          <w:sz w:val="26"/>
          <w:szCs w:val="26"/>
        </w:rPr>
        <w:t xml:space="preserve"> придобит през 2011г.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Дружеството разпространява вестници и списания чрез абонамент и чрез собствена </w:t>
      </w:r>
      <w:r>
        <w:rPr>
          <w:rFonts w:ascii="Times New Roman" w:hAnsi="Times New Roman"/>
          <w:sz w:val="26"/>
          <w:szCs w:val="26"/>
        </w:rPr>
        <w:t xml:space="preserve">мрежа от търговски обекти на територията на гр. София и не използва подизпълнители. Също така извършва и рекламна дейност (рекламни услуги чрез отдаване на рекламни съоръжения под наем);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Обичайната му практика е да купува изданията директно от издателите </w:t>
      </w:r>
      <w:r>
        <w:rPr>
          <w:rFonts w:ascii="Times New Roman" w:hAnsi="Times New Roman"/>
          <w:sz w:val="26"/>
          <w:szCs w:val="26"/>
        </w:rPr>
        <w:t xml:space="preserve">или от определени от тях генерални дистрибутори, а в много редки случаи ги взема от търговци на едро.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За анализирания период дружеството купува издания от следните издатели и получава следните търговски отстъпки: „7 дни спорт“ ЕООД (в. 7 дни спорт- </w:t>
      </w:r>
      <w:r>
        <w:rPr>
          <w:rFonts w:ascii="Times New Roman" w:hAnsi="Times New Roman"/>
        </w:rPr>
        <w:t>(...)</w:t>
      </w:r>
      <w:r>
        <w:rPr>
          <w:rFonts w:ascii="Times New Roman" w:hAnsi="Times New Roman"/>
        </w:rPr>
        <w:sym w:font="Symbol" w:char="F02A"/>
      </w:r>
      <w:r>
        <w:rPr>
          <w:rFonts w:ascii="Times New Roman" w:hAnsi="Times New Roman"/>
          <w:sz w:val="26"/>
          <w:szCs w:val="26"/>
        </w:rPr>
        <w:t>); ИК „Наслука“ ЕООД (сп. Лов и риболов и в. Рибар-</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w:t>
      </w:r>
      <w:r>
        <w:rPr>
          <w:rFonts w:ascii="Times New Roman" w:hAnsi="Times New Roman"/>
          <w:sz w:val="26"/>
          <w:szCs w:val="26"/>
        </w:rPr>
        <w:lastRenderedPageBreak/>
        <w:t>„Икономедиа“ АД (за вестниците -</w:t>
      </w:r>
      <w:r>
        <w:rPr>
          <w:rFonts w:ascii="Times New Roman" w:hAnsi="Times New Roman"/>
        </w:rPr>
        <w:t>(...)</w:t>
      </w:r>
      <w:r>
        <w:rPr>
          <w:rFonts w:ascii="Times New Roman" w:hAnsi="Times New Roman"/>
        </w:rPr>
        <w:sym w:font="Symbol" w:char="F02A"/>
      </w:r>
      <w:r>
        <w:rPr>
          <w:rFonts w:ascii="Times New Roman" w:hAnsi="Times New Roman"/>
          <w:sz w:val="26"/>
          <w:szCs w:val="26"/>
        </w:rPr>
        <w:t>, а за списанията-</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„АС Медия“  АД (в. Република –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„Класа България“ ЕАД (в. Класа - </w:t>
      </w:r>
      <w:r>
        <w:rPr>
          <w:rFonts w:ascii="Times New Roman" w:hAnsi="Times New Roman"/>
        </w:rPr>
        <w:t>(...)</w:t>
      </w:r>
      <w:r>
        <w:rPr>
          <w:rFonts w:ascii="Times New Roman" w:hAnsi="Times New Roman"/>
        </w:rPr>
        <w:sym w:font="Symbol" w:char="F02A"/>
      </w:r>
      <w:r>
        <w:rPr>
          <w:rFonts w:ascii="Times New Roman" w:hAnsi="Times New Roman"/>
          <w:sz w:val="26"/>
          <w:szCs w:val="26"/>
        </w:rPr>
        <w:t>); „Стандарт Нюз“ АД (в. Стандарт-</w:t>
      </w:r>
      <w:r>
        <w:rPr>
          <w:rFonts w:ascii="Times New Roman" w:hAnsi="Times New Roman"/>
        </w:rPr>
        <w:t>(...)</w:t>
      </w:r>
      <w:r>
        <w:rPr>
          <w:rFonts w:ascii="Times New Roman" w:hAnsi="Times New Roman"/>
        </w:rPr>
        <w:sym w:font="Symbol" w:char="F02A"/>
      </w:r>
      <w:r>
        <w:rPr>
          <w:rFonts w:ascii="Times New Roman" w:hAnsi="Times New Roman"/>
          <w:sz w:val="26"/>
          <w:szCs w:val="26"/>
        </w:rPr>
        <w:t>); „Санома Б</w:t>
      </w:r>
      <w:r>
        <w:rPr>
          <w:rFonts w:ascii="Times New Roman" w:hAnsi="Times New Roman"/>
          <w:sz w:val="26"/>
          <w:szCs w:val="26"/>
        </w:rPr>
        <w:t>лясък България“ АД (списания -</w:t>
      </w:r>
      <w:r>
        <w:rPr>
          <w:rFonts w:ascii="Times New Roman" w:hAnsi="Times New Roman"/>
        </w:rPr>
        <w:t>(...)</w:t>
      </w:r>
      <w:r>
        <w:rPr>
          <w:rFonts w:ascii="Times New Roman" w:hAnsi="Times New Roman"/>
        </w:rPr>
        <w:sym w:font="Symbol" w:char="F02A"/>
      </w:r>
      <w:r>
        <w:rPr>
          <w:rFonts w:ascii="Times New Roman" w:hAnsi="Times New Roman"/>
          <w:sz w:val="26"/>
          <w:szCs w:val="26"/>
        </w:rPr>
        <w:t>); „Новинар Медиа“ АД (в. Новинар-</w:t>
      </w:r>
      <w:r>
        <w:rPr>
          <w:rFonts w:ascii="Times New Roman" w:hAnsi="Times New Roman"/>
        </w:rPr>
        <w:t>(...)</w:t>
      </w:r>
      <w:r>
        <w:rPr>
          <w:rFonts w:ascii="Times New Roman" w:hAnsi="Times New Roman"/>
        </w:rPr>
        <w:sym w:font="Symbol" w:char="F02A"/>
      </w:r>
      <w:r>
        <w:rPr>
          <w:rFonts w:ascii="Times New Roman" w:hAnsi="Times New Roman"/>
          <w:sz w:val="26"/>
          <w:szCs w:val="26"/>
        </w:rPr>
        <w:t>); „Сега“ АД  – (в. Сега-</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Дистрибуторите, от които купува периодика, респ. ТО, която получава, са „Агенция Стрела“ ЕООД /вестниците- Утро, 24 часа, 168 часа, Седмичен труд</w:t>
      </w:r>
      <w:r>
        <w:rPr>
          <w:rFonts w:ascii="Times New Roman" w:hAnsi="Times New Roman"/>
          <w:sz w:val="26"/>
          <w:szCs w:val="26"/>
        </w:rPr>
        <w:t>, Труд-</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списанията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Прес ЕООД –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Братя Герини Прес ЕООД; Булгарпрес ООД (за всички чуждестранни списания и вестници-</w:t>
      </w:r>
      <w:r>
        <w:rPr>
          <w:rFonts w:ascii="Times New Roman" w:hAnsi="Times New Roman"/>
        </w:rPr>
        <w:t>(...)</w:t>
      </w:r>
      <w:r>
        <w:rPr>
          <w:rFonts w:ascii="Times New Roman" w:hAnsi="Times New Roman"/>
        </w:rPr>
        <w:sym w:font="Symbol" w:char="F02A"/>
      </w:r>
      <w:r>
        <w:rPr>
          <w:rFonts w:ascii="Times New Roman" w:hAnsi="Times New Roman"/>
          <w:sz w:val="26"/>
          <w:szCs w:val="26"/>
        </w:rPr>
        <w:t>); НАР ЕАД (в. Дума-</w:t>
      </w:r>
      <w:r>
        <w:rPr>
          <w:rFonts w:ascii="Times New Roman" w:hAnsi="Times New Roman"/>
        </w:rPr>
        <w:t>(...)</w:t>
      </w:r>
      <w:r>
        <w:rPr>
          <w:rFonts w:ascii="Times New Roman" w:hAnsi="Times New Roman"/>
        </w:rPr>
        <w:sym w:font="Symbol" w:char="F02A"/>
      </w:r>
      <w:r>
        <w:rPr>
          <w:rFonts w:ascii="Times New Roman" w:hAnsi="Times New Roman"/>
          <w:sz w:val="26"/>
          <w:szCs w:val="26"/>
        </w:rPr>
        <w:t>, в.Банкеръ-</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и специализирани списания); Пресмаркет ЕООД (в.Монитор-</w:t>
      </w:r>
      <w:r>
        <w:rPr>
          <w:rFonts w:ascii="Times New Roman" w:hAnsi="Times New Roman"/>
        </w:rPr>
        <w:t>(...)</w:t>
      </w:r>
      <w:r>
        <w:rPr>
          <w:rFonts w:ascii="Times New Roman" w:hAnsi="Times New Roman"/>
        </w:rPr>
        <w:sym w:font="Symbol" w:char="F02A"/>
      </w:r>
      <w:r>
        <w:rPr>
          <w:rFonts w:ascii="Times New Roman" w:hAnsi="Times New Roman"/>
          <w:sz w:val="26"/>
          <w:szCs w:val="26"/>
        </w:rPr>
        <w:t>, в.Тел</w:t>
      </w:r>
      <w:r>
        <w:rPr>
          <w:rFonts w:ascii="Times New Roman" w:hAnsi="Times New Roman"/>
          <w:sz w:val="26"/>
          <w:szCs w:val="26"/>
        </w:rPr>
        <w:t>еграф-</w:t>
      </w:r>
      <w:r>
        <w:rPr>
          <w:rFonts w:ascii="Times New Roman" w:hAnsi="Times New Roman"/>
        </w:rPr>
        <w:t>(...)</w:t>
      </w:r>
      <w:r>
        <w:rPr>
          <w:rFonts w:ascii="Times New Roman" w:hAnsi="Times New Roman"/>
        </w:rPr>
        <w:sym w:font="Symbol" w:char="F02A"/>
      </w:r>
      <w:r>
        <w:rPr>
          <w:rFonts w:ascii="Times New Roman" w:hAnsi="Times New Roman"/>
          <w:sz w:val="26"/>
          <w:szCs w:val="26"/>
        </w:rPr>
        <w:t>; в.Политика-</w:t>
      </w:r>
      <w:r>
        <w:rPr>
          <w:rFonts w:ascii="Times New Roman" w:hAnsi="Times New Roman"/>
        </w:rPr>
        <w:t>(...)</w:t>
      </w:r>
      <w:r>
        <w:rPr>
          <w:rFonts w:ascii="Times New Roman" w:hAnsi="Times New Roman"/>
        </w:rPr>
        <w:sym w:font="Symbol" w:char="F02A"/>
      </w:r>
      <w:r>
        <w:rPr>
          <w:rFonts w:ascii="Times New Roman" w:hAnsi="Times New Roman"/>
          <w:sz w:val="26"/>
          <w:szCs w:val="26"/>
        </w:rPr>
        <w:t>; в.Меридиан мач-</w:t>
      </w:r>
      <w:r>
        <w:rPr>
          <w:rFonts w:ascii="Times New Roman" w:hAnsi="Times New Roman"/>
        </w:rPr>
        <w:t>(...)</w:t>
      </w:r>
      <w:r>
        <w:rPr>
          <w:rFonts w:ascii="Times New Roman" w:hAnsi="Times New Roman"/>
        </w:rPr>
        <w:sym w:font="Symbol" w:char="F02A"/>
      </w:r>
      <w:r>
        <w:rPr>
          <w:rFonts w:ascii="Times New Roman" w:hAnsi="Times New Roman"/>
          <w:sz w:val="26"/>
          <w:szCs w:val="26"/>
        </w:rPr>
        <w:t>); Национална дистрибуция ООД (изданията на Ню Медия Груп АД, вкл.Уикенд-</w:t>
      </w:r>
      <w:r>
        <w:rPr>
          <w:rFonts w:ascii="Times New Roman" w:hAnsi="Times New Roman"/>
        </w:rPr>
        <w:t>(...)</w:t>
      </w:r>
      <w:r>
        <w:rPr>
          <w:rFonts w:ascii="Times New Roman" w:hAnsi="Times New Roman"/>
        </w:rPr>
        <w:sym w:font="Symbol" w:char="F02A"/>
      </w:r>
      <w:r>
        <w:rPr>
          <w:rFonts w:ascii="Times New Roman" w:hAnsi="Times New Roman"/>
          <w:sz w:val="26"/>
          <w:szCs w:val="26"/>
        </w:rPr>
        <w:t>; на Торнадо Медиа ЕООД-в. Торнадо–</w:t>
      </w:r>
      <w:r>
        <w:rPr>
          <w:rFonts w:ascii="Times New Roman" w:hAnsi="Times New Roman"/>
        </w:rPr>
        <w:t>(...)</w:t>
      </w:r>
      <w:r>
        <w:rPr>
          <w:rFonts w:ascii="Times New Roman" w:hAnsi="Times New Roman"/>
        </w:rPr>
        <w:sym w:font="Symbol" w:char="F02A"/>
      </w:r>
      <w:r>
        <w:rPr>
          <w:rFonts w:ascii="Times New Roman" w:hAnsi="Times New Roman"/>
          <w:sz w:val="26"/>
          <w:szCs w:val="26"/>
        </w:rPr>
        <w:t>); Прес ЕООД (вестници и списания, в. т.ч. в. Галерия-</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а останалите </w:t>
      </w:r>
      <w:r>
        <w:rPr>
          <w:rFonts w:ascii="Times New Roman" w:hAnsi="Times New Roman"/>
        </w:rPr>
        <w:t>(...)</w:t>
      </w:r>
      <w:r>
        <w:rPr>
          <w:rFonts w:ascii="Times New Roman" w:hAnsi="Times New Roman"/>
        </w:rPr>
        <w:sym w:font="Symbol" w:char="F02A"/>
      </w:r>
      <w:r>
        <w:rPr>
          <w:rFonts w:ascii="Times New Roman" w:hAnsi="Times New Roman"/>
          <w:sz w:val="26"/>
          <w:szCs w:val="26"/>
        </w:rPr>
        <w:t>)</w:t>
      </w:r>
      <w:r>
        <w:rPr>
          <w:rFonts w:ascii="Times New Roman" w:hAnsi="Times New Roman"/>
          <w:sz w:val="26"/>
          <w:szCs w:val="26"/>
        </w:rPr>
        <w:t xml:space="preserve">; Бумеранг ООД (в. Атака – </w:t>
      </w:r>
      <w:r>
        <w:rPr>
          <w:rFonts w:ascii="Times New Roman" w:hAnsi="Times New Roman"/>
        </w:rPr>
        <w:t>(...)</w:t>
      </w:r>
      <w:r>
        <w:rPr>
          <w:rFonts w:ascii="Times New Roman" w:hAnsi="Times New Roman"/>
        </w:rPr>
        <w:sym w:font="Symbol" w:char="F02A"/>
      </w:r>
      <w:r>
        <w:rPr>
          <w:rFonts w:ascii="Times New Roman" w:hAnsi="Times New Roman"/>
          <w:sz w:val="26"/>
          <w:szCs w:val="26"/>
        </w:rPr>
        <w:t>-за 2009г., а за 2010-2011г.-</w:t>
      </w:r>
      <w:r>
        <w:rPr>
          <w:rFonts w:ascii="Times New Roman" w:hAnsi="Times New Roman"/>
        </w:rPr>
        <w:t xml:space="preserve"> (...)</w:t>
      </w:r>
      <w:r>
        <w:rPr>
          <w:rFonts w:ascii="Times New Roman" w:hAnsi="Times New Roman"/>
        </w:rPr>
        <w:sym w:font="Symbol" w:char="F02A"/>
      </w:r>
      <w:r>
        <w:rPr>
          <w:rFonts w:ascii="Times New Roman" w:hAnsi="Times New Roman"/>
          <w:sz w:val="26"/>
          <w:szCs w:val="26"/>
        </w:rPr>
        <w:t>).</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Данните за брак (нереализирана стока) за периода съответно са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(2009г.-2010 г.) и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(2011г.).</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Таблица № 15 съдържа информация за общо  доставения и реализиран тираж издания.</w:t>
      </w:r>
      <w:r>
        <w:rPr>
          <w:rFonts w:ascii="Times New Roman" w:hAnsi="Times New Roman"/>
          <w:sz w:val="26"/>
          <w:szCs w:val="26"/>
        </w:rPr>
        <w:t xml:space="preserve"> </w:t>
      </w:r>
    </w:p>
    <w:p w:rsidR="00000000" w:rsidRDefault="003E498D">
      <w:pPr>
        <w:pStyle w:val="NoSpacing"/>
        <w:ind w:left="6372"/>
        <w:contextualSpacing/>
        <w:jc w:val="right"/>
        <w:rPr>
          <w:rFonts w:ascii="Times New Roman" w:hAnsi="Times New Roman"/>
          <w:spacing w:val="1"/>
          <w:sz w:val="26"/>
          <w:szCs w:val="26"/>
          <w:lang w:eastAsia="bg-BG"/>
        </w:rPr>
      </w:pPr>
      <w:r>
        <w:rPr>
          <w:rFonts w:ascii="Times New Roman" w:hAnsi="Times New Roman"/>
          <w:spacing w:val="1"/>
          <w:sz w:val="26"/>
          <w:szCs w:val="26"/>
          <w:lang w:eastAsia="bg-BG"/>
        </w:rPr>
        <w:t>Таблица № 15</w:t>
      </w:r>
      <w:r>
        <w:rPr>
          <w:rFonts w:ascii="Times New Roman" w:hAnsi="Times New Roman"/>
          <w:kern w:val="16"/>
          <w:sz w:val="26"/>
          <w:szCs w:val="26"/>
          <w:lang w:eastAsia="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4533"/>
        <w:gridCol w:w="2303"/>
      </w:tblGrid>
      <w:tr w:rsidR="00000000">
        <w:tc>
          <w:tcPr>
            <w:tcW w:w="2376" w:type="dxa"/>
            <w:vMerge w:val="restart"/>
            <w:vAlign w:val="center"/>
          </w:tcPr>
          <w:p w:rsidR="00000000" w:rsidRDefault="003E498D">
            <w:pPr>
              <w:pStyle w:val="NoSpacing"/>
              <w:contextualSpacing/>
              <w:jc w:val="center"/>
              <w:rPr>
                <w:rFonts w:ascii="Times New Roman" w:hAnsi="Times New Roman"/>
                <w:spacing w:val="1"/>
                <w:lang w:eastAsia="bg-BG"/>
              </w:rPr>
            </w:pPr>
            <w:r>
              <w:rPr>
                <w:rFonts w:ascii="Times New Roman" w:hAnsi="Times New Roman"/>
                <w:spacing w:val="1"/>
              </w:rPr>
              <w:t>Година</w:t>
            </w:r>
          </w:p>
        </w:tc>
        <w:tc>
          <w:tcPr>
            <w:tcW w:w="6836" w:type="dxa"/>
            <w:gridSpan w:val="2"/>
          </w:tcPr>
          <w:p w:rsidR="00000000" w:rsidRDefault="003E498D">
            <w:pPr>
              <w:pStyle w:val="NoSpacing"/>
              <w:contextualSpacing/>
              <w:jc w:val="center"/>
              <w:rPr>
                <w:rFonts w:ascii="Times New Roman" w:hAnsi="Times New Roman"/>
                <w:spacing w:val="1"/>
                <w:lang w:eastAsia="bg-BG"/>
              </w:rPr>
            </w:pPr>
            <w:r>
              <w:rPr>
                <w:rFonts w:ascii="Times New Roman" w:hAnsi="Times New Roman"/>
                <w:spacing w:val="1"/>
              </w:rPr>
              <w:t>Общ тираж печатни издания (бр.)</w:t>
            </w:r>
          </w:p>
        </w:tc>
      </w:tr>
      <w:tr w:rsidR="00000000">
        <w:tc>
          <w:tcPr>
            <w:tcW w:w="2376" w:type="dxa"/>
            <w:vMerge/>
          </w:tcPr>
          <w:p w:rsidR="00000000" w:rsidRDefault="003E498D">
            <w:pPr>
              <w:pStyle w:val="NoSpacing"/>
              <w:contextualSpacing/>
              <w:jc w:val="center"/>
              <w:rPr>
                <w:rFonts w:ascii="Times New Roman" w:hAnsi="Times New Roman"/>
                <w:spacing w:val="1"/>
              </w:rPr>
            </w:pPr>
          </w:p>
        </w:tc>
        <w:tc>
          <w:tcPr>
            <w:tcW w:w="4533" w:type="dxa"/>
          </w:tcPr>
          <w:p w:rsidR="00000000" w:rsidRDefault="003E498D">
            <w:pPr>
              <w:pStyle w:val="NoSpacing"/>
              <w:contextualSpacing/>
              <w:jc w:val="center"/>
              <w:rPr>
                <w:rFonts w:ascii="Times New Roman" w:hAnsi="Times New Roman"/>
                <w:spacing w:val="1"/>
                <w:lang w:eastAsia="bg-BG"/>
              </w:rPr>
            </w:pPr>
            <w:r>
              <w:rPr>
                <w:rFonts w:ascii="Times New Roman" w:hAnsi="Times New Roman"/>
                <w:spacing w:val="1"/>
              </w:rPr>
              <w:t>Доставен тираж</w:t>
            </w:r>
          </w:p>
        </w:tc>
        <w:tc>
          <w:tcPr>
            <w:tcW w:w="2303"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Реализиран тираж</w:t>
            </w:r>
          </w:p>
        </w:tc>
      </w:tr>
      <w:tr w:rsidR="00000000">
        <w:tc>
          <w:tcPr>
            <w:tcW w:w="2376" w:type="dxa"/>
          </w:tcPr>
          <w:p w:rsidR="00000000" w:rsidRDefault="003E498D">
            <w:pPr>
              <w:pStyle w:val="NoSpacing"/>
              <w:contextualSpacing/>
              <w:jc w:val="center"/>
              <w:rPr>
                <w:rFonts w:ascii="Times New Roman" w:hAnsi="Times New Roman"/>
                <w:spacing w:val="1"/>
                <w:lang w:eastAsia="bg-BG"/>
              </w:rPr>
            </w:pPr>
            <w:r>
              <w:rPr>
                <w:rFonts w:ascii="Times New Roman" w:hAnsi="Times New Roman"/>
                <w:spacing w:val="1"/>
              </w:rPr>
              <w:t>2009 г.</w:t>
            </w:r>
          </w:p>
        </w:tc>
        <w:tc>
          <w:tcPr>
            <w:tcW w:w="4533"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2303"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r w:rsidR="00000000">
        <w:tc>
          <w:tcPr>
            <w:tcW w:w="2376" w:type="dxa"/>
          </w:tcPr>
          <w:p w:rsidR="00000000" w:rsidRDefault="003E498D">
            <w:pPr>
              <w:pStyle w:val="NoSpacing"/>
              <w:contextualSpacing/>
              <w:jc w:val="center"/>
              <w:rPr>
                <w:rFonts w:ascii="Times New Roman" w:hAnsi="Times New Roman"/>
                <w:spacing w:val="1"/>
                <w:lang w:eastAsia="bg-BG"/>
              </w:rPr>
            </w:pPr>
            <w:r>
              <w:rPr>
                <w:rFonts w:ascii="Times New Roman" w:hAnsi="Times New Roman"/>
                <w:spacing w:val="1"/>
              </w:rPr>
              <w:t>2010 г.</w:t>
            </w:r>
          </w:p>
        </w:tc>
        <w:tc>
          <w:tcPr>
            <w:tcW w:w="4533"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2303"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r w:rsidR="00000000">
        <w:tc>
          <w:tcPr>
            <w:tcW w:w="2376" w:type="dxa"/>
          </w:tcPr>
          <w:p w:rsidR="00000000" w:rsidRDefault="003E498D">
            <w:pPr>
              <w:pStyle w:val="NoSpacing"/>
              <w:contextualSpacing/>
              <w:jc w:val="center"/>
              <w:rPr>
                <w:rFonts w:ascii="Times New Roman" w:hAnsi="Times New Roman"/>
                <w:spacing w:val="1"/>
                <w:lang w:eastAsia="bg-BG"/>
              </w:rPr>
            </w:pPr>
            <w:r>
              <w:rPr>
                <w:rFonts w:ascii="Times New Roman" w:hAnsi="Times New Roman"/>
                <w:spacing w:val="1"/>
              </w:rPr>
              <w:t>2011 г.</w:t>
            </w:r>
          </w:p>
        </w:tc>
        <w:tc>
          <w:tcPr>
            <w:tcW w:w="4533"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2303"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bl>
    <w:p w:rsidR="00000000" w:rsidRDefault="003E498D">
      <w:pPr>
        <w:pStyle w:val="NoSpacing"/>
        <w:contextualSpacing/>
        <w:jc w:val="both"/>
        <w:rPr>
          <w:rFonts w:ascii="Times New Roman" w:hAnsi="Times New Roman"/>
          <w:sz w:val="26"/>
          <w:szCs w:val="26"/>
          <w:highlight w:val="yellow"/>
        </w:rPr>
      </w:pP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Видно от данните в таблицата за анализирания период е налице намаление в броя на реализирани</w:t>
      </w:r>
      <w:r>
        <w:rPr>
          <w:rFonts w:ascii="Times New Roman" w:hAnsi="Times New Roman"/>
          <w:sz w:val="26"/>
          <w:szCs w:val="26"/>
        </w:rPr>
        <w:t xml:space="preserve">я тираж спрямо 2009 г., като през 2010 г. то е с 4,4  %, а през 2011 г. – с 12,3  % </w:t>
      </w:r>
    </w:p>
    <w:p w:rsidR="00000000" w:rsidRDefault="003E498D">
      <w:pPr>
        <w:pStyle w:val="NoSpacing"/>
        <w:ind w:firstLine="708"/>
        <w:contextualSpacing/>
        <w:jc w:val="both"/>
        <w:rPr>
          <w:rFonts w:ascii="Times New Roman" w:hAnsi="Times New Roman"/>
          <w:b/>
          <w:sz w:val="26"/>
          <w:szCs w:val="26"/>
        </w:rPr>
      </w:pPr>
      <w:r>
        <w:rPr>
          <w:rFonts w:ascii="Times New Roman" w:hAnsi="Times New Roman"/>
          <w:sz w:val="26"/>
          <w:szCs w:val="26"/>
        </w:rPr>
        <w:t xml:space="preserve">Дружеството посочва за свои </w:t>
      </w:r>
      <w:r>
        <w:rPr>
          <w:rFonts w:ascii="Times New Roman" w:hAnsi="Times New Roman"/>
          <w:b/>
          <w:sz w:val="26"/>
          <w:szCs w:val="26"/>
        </w:rPr>
        <w:t xml:space="preserve">конкуренти </w:t>
      </w:r>
      <w:r>
        <w:rPr>
          <w:rFonts w:ascii="Times New Roman" w:hAnsi="Times New Roman"/>
          <w:sz w:val="26"/>
          <w:szCs w:val="26"/>
        </w:rPr>
        <w:t>НАР ЕАД, Агенция Стрела ЕООД, Сенатор ООД, Семир-периодичен печат ЕООД; АКС Трейдинг ООД; Оларт ЕООД; Прес 2000 ЕООД; Бояна 97 ЕООД,</w:t>
      </w:r>
      <w:r>
        <w:rPr>
          <w:rFonts w:ascii="Times New Roman" w:hAnsi="Times New Roman"/>
          <w:sz w:val="26"/>
          <w:szCs w:val="26"/>
        </w:rPr>
        <w:t xml:space="preserve"> Мелао ЕООД  и др. </w:t>
      </w:r>
    </w:p>
    <w:p w:rsidR="00000000" w:rsidRDefault="003E498D">
      <w:pPr>
        <w:pStyle w:val="NoSpacing"/>
        <w:contextualSpacing/>
        <w:jc w:val="both"/>
        <w:rPr>
          <w:rFonts w:ascii="Times New Roman" w:hAnsi="Times New Roman"/>
          <w:sz w:val="26"/>
          <w:szCs w:val="26"/>
        </w:rPr>
      </w:pPr>
    </w:p>
    <w:p w:rsidR="00000000" w:rsidRDefault="003E498D">
      <w:pPr>
        <w:pStyle w:val="NoSpacing"/>
        <w:ind w:firstLine="708"/>
        <w:contextualSpacing/>
        <w:jc w:val="both"/>
        <w:rPr>
          <w:rFonts w:ascii="Times New Roman" w:hAnsi="Times New Roman"/>
          <w:sz w:val="26"/>
          <w:szCs w:val="26"/>
        </w:rPr>
      </w:pPr>
      <w:r>
        <w:rPr>
          <w:rFonts w:ascii="Times New Roman" w:hAnsi="Times New Roman"/>
          <w:b/>
          <w:sz w:val="26"/>
          <w:szCs w:val="26"/>
        </w:rPr>
        <w:t xml:space="preserve">Мелао ЕООД, София /ЕИК 130518640/, </w:t>
      </w:r>
      <w:r>
        <w:rPr>
          <w:rFonts w:ascii="Times New Roman" w:hAnsi="Times New Roman"/>
          <w:sz w:val="26"/>
          <w:szCs w:val="26"/>
        </w:rPr>
        <w:t>считано от 10.01.12 г., е с нов</w:t>
      </w:r>
      <w:r>
        <w:rPr>
          <w:rFonts w:ascii="Times New Roman" w:hAnsi="Times New Roman"/>
          <w:b/>
          <w:sz w:val="26"/>
          <w:szCs w:val="26"/>
        </w:rPr>
        <w:t xml:space="preserve"> </w:t>
      </w:r>
      <w:r>
        <w:rPr>
          <w:rFonts w:ascii="Times New Roman" w:hAnsi="Times New Roman"/>
          <w:sz w:val="26"/>
          <w:szCs w:val="26"/>
        </w:rPr>
        <w:t xml:space="preserve"> едноличен собственик на капитала г-н Неджадбахрам Манучер, а преди това е бил Борис Филчев.</w:t>
      </w:r>
      <w:bookmarkEnd w:id="16"/>
      <w:r>
        <w:rPr>
          <w:rFonts w:ascii="Times New Roman" w:hAnsi="Times New Roman"/>
          <w:sz w:val="26"/>
          <w:szCs w:val="26"/>
        </w:rPr>
        <w:t xml:space="preserve">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Дружеството доставя национални вестници и списания на кафенета, заведения,</w:t>
      </w:r>
      <w:r>
        <w:rPr>
          <w:rFonts w:ascii="Times New Roman" w:hAnsi="Times New Roman"/>
          <w:sz w:val="26"/>
          <w:szCs w:val="26"/>
        </w:rPr>
        <w:t xml:space="preserve"> магазини в гр. София и на други търговци директно от рампата на ИПК Родина. „Мелао“ ЕООД  има и собствени обекти</w:t>
      </w:r>
      <w:r>
        <w:rPr>
          <w:rStyle w:val="FootnoteReference"/>
          <w:rFonts w:ascii="Times New Roman" w:hAnsi="Times New Roman"/>
          <w:sz w:val="26"/>
          <w:szCs w:val="26"/>
        </w:rPr>
        <w:footnoteReference w:id="26"/>
      </w:r>
      <w:r>
        <w:rPr>
          <w:rFonts w:ascii="Times New Roman" w:hAnsi="Times New Roman"/>
          <w:sz w:val="26"/>
          <w:szCs w:val="26"/>
        </w:rPr>
        <w:t xml:space="preserve">, като купува изданията както от издатели, така и от дистрибутори. </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Дружеството е представило информация за доставения и реализиран тираж  на</w:t>
      </w:r>
      <w:r>
        <w:rPr>
          <w:rFonts w:ascii="Times New Roman" w:hAnsi="Times New Roman"/>
          <w:sz w:val="26"/>
          <w:szCs w:val="26"/>
        </w:rPr>
        <w:t xml:space="preserve">ционални вестници, в т.ч. отделно ежедневници и седмичници. За 2009 г. и за 2010 г. реализираният общ тираж надвишава броя на доставения тираж. </w:t>
      </w:r>
    </w:p>
    <w:p w:rsidR="00000000" w:rsidRDefault="003E498D">
      <w:pPr>
        <w:pStyle w:val="NoSpacing"/>
        <w:ind w:left="6372" w:firstLine="708"/>
        <w:contextualSpacing/>
        <w:jc w:val="right"/>
        <w:rPr>
          <w:rFonts w:ascii="Times New Roman" w:hAnsi="Times New Roman"/>
          <w:sz w:val="26"/>
          <w:szCs w:val="26"/>
        </w:rPr>
      </w:pPr>
      <w:r>
        <w:rPr>
          <w:rFonts w:ascii="Times New Roman" w:hAnsi="Times New Roman"/>
          <w:sz w:val="26"/>
          <w:szCs w:val="26"/>
        </w:rPr>
        <w:t>Таблица № 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6"/>
        <w:gridCol w:w="1316"/>
        <w:gridCol w:w="1316"/>
        <w:gridCol w:w="1316"/>
        <w:gridCol w:w="1316"/>
        <w:gridCol w:w="1316"/>
        <w:gridCol w:w="1316"/>
      </w:tblGrid>
      <w:tr w:rsidR="00000000">
        <w:tc>
          <w:tcPr>
            <w:tcW w:w="1316" w:type="dxa"/>
            <w:vMerge w:val="restart"/>
            <w:vAlign w:val="center"/>
          </w:tcPr>
          <w:p w:rsidR="00000000" w:rsidRDefault="003E498D">
            <w:pPr>
              <w:pStyle w:val="NoSpacing"/>
              <w:contextualSpacing/>
              <w:jc w:val="center"/>
              <w:rPr>
                <w:rFonts w:ascii="Times New Roman" w:hAnsi="Times New Roman"/>
              </w:rPr>
            </w:pPr>
            <w:r>
              <w:rPr>
                <w:rFonts w:ascii="Times New Roman" w:hAnsi="Times New Roman"/>
              </w:rPr>
              <w:t>Година</w:t>
            </w:r>
          </w:p>
        </w:tc>
        <w:tc>
          <w:tcPr>
            <w:tcW w:w="7896" w:type="dxa"/>
            <w:gridSpan w:val="6"/>
            <w:vAlign w:val="center"/>
          </w:tcPr>
          <w:p w:rsidR="00000000" w:rsidRDefault="003E498D">
            <w:pPr>
              <w:pStyle w:val="NoSpacing"/>
              <w:contextualSpacing/>
              <w:jc w:val="center"/>
              <w:rPr>
                <w:rFonts w:ascii="Times New Roman" w:hAnsi="Times New Roman"/>
              </w:rPr>
            </w:pPr>
            <w:r>
              <w:rPr>
                <w:rFonts w:ascii="Times New Roman" w:hAnsi="Times New Roman"/>
              </w:rPr>
              <w:t>Национални вестници - тираж /брой/</w:t>
            </w:r>
          </w:p>
        </w:tc>
      </w:tr>
      <w:tr w:rsidR="00000000">
        <w:tc>
          <w:tcPr>
            <w:tcW w:w="1316" w:type="dxa"/>
            <w:vMerge/>
            <w:vAlign w:val="center"/>
          </w:tcPr>
          <w:p w:rsidR="00000000" w:rsidRDefault="003E498D">
            <w:pPr>
              <w:pStyle w:val="NoSpacing"/>
              <w:contextualSpacing/>
              <w:jc w:val="center"/>
              <w:rPr>
                <w:rFonts w:ascii="Times New Roman" w:hAnsi="Times New Roman"/>
              </w:rPr>
            </w:pPr>
          </w:p>
        </w:tc>
        <w:tc>
          <w:tcPr>
            <w:tcW w:w="2632" w:type="dxa"/>
            <w:gridSpan w:val="2"/>
            <w:vAlign w:val="center"/>
          </w:tcPr>
          <w:p w:rsidR="00000000" w:rsidRDefault="003E498D">
            <w:pPr>
              <w:pStyle w:val="NoSpacing"/>
              <w:contextualSpacing/>
              <w:jc w:val="center"/>
              <w:rPr>
                <w:rFonts w:ascii="Times New Roman" w:hAnsi="Times New Roman"/>
              </w:rPr>
            </w:pPr>
            <w:r>
              <w:rPr>
                <w:rFonts w:ascii="Times New Roman" w:hAnsi="Times New Roman"/>
              </w:rPr>
              <w:t>Общо</w:t>
            </w:r>
          </w:p>
        </w:tc>
        <w:tc>
          <w:tcPr>
            <w:tcW w:w="2632" w:type="dxa"/>
            <w:gridSpan w:val="2"/>
            <w:vAlign w:val="center"/>
          </w:tcPr>
          <w:p w:rsidR="00000000" w:rsidRDefault="003E498D">
            <w:pPr>
              <w:pStyle w:val="NoSpacing"/>
              <w:contextualSpacing/>
              <w:jc w:val="center"/>
              <w:rPr>
                <w:rFonts w:ascii="Times New Roman" w:hAnsi="Times New Roman"/>
              </w:rPr>
            </w:pPr>
            <w:r>
              <w:rPr>
                <w:rFonts w:ascii="Times New Roman" w:hAnsi="Times New Roman"/>
              </w:rPr>
              <w:t>Ежедневници</w:t>
            </w:r>
          </w:p>
        </w:tc>
        <w:tc>
          <w:tcPr>
            <w:tcW w:w="2632" w:type="dxa"/>
            <w:gridSpan w:val="2"/>
            <w:vAlign w:val="center"/>
          </w:tcPr>
          <w:p w:rsidR="00000000" w:rsidRDefault="003E498D">
            <w:pPr>
              <w:pStyle w:val="NoSpacing"/>
              <w:contextualSpacing/>
              <w:jc w:val="center"/>
              <w:rPr>
                <w:rFonts w:ascii="Times New Roman" w:hAnsi="Times New Roman"/>
              </w:rPr>
            </w:pPr>
            <w:r>
              <w:rPr>
                <w:rFonts w:ascii="Times New Roman" w:hAnsi="Times New Roman"/>
              </w:rPr>
              <w:t>Седмичници</w:t>
            </w:r>
          </w:p>
        </w:tc>
      </w:tr>
      <w:tr w:rsidR="00000000">
        <w:tc>
          <w:tcPr>
            <w:tcW w:w="1316" w:type="dxa"/>
            <w:vMerge/>
            <w:vAlign w:val="center"/>
          </w:tcPr>
          <w:p w:rsidR="00000000" w:rsidRDefault="003E498D">
            <w:pPr>
              <w:pStyle w:val="NoSpacing"/>
              <w:contextualSpacing/>
              <w:jc w:val="center"/>
              <w:rPr>
                <w:rFonts w:ascii="Times New Roman" w:hAnsi="Times New Roman"/>
              </w:rPr>
            </w:pPr>
          </w:p>
        </w:tc>
        <w:tc>
          <w:tcPr>
            <w:tcW w:w="1316" w:type="dxa"/>
            <w:vAlign w:val="center"/>
          </w:tcPr>
          <w:p w:rsidR="00000000" w:rsidRDefault="003E498D">
            <w:pPr>
              <w:pStyle w:val="NoSpacing"/>
              <w:contextualSpacing/>
              <w:jc w:val="center"/>
              <w:rPr>
                <w:rFonts w:ascii="Times New Roman" w:hAnsi="Times New Roman"/>
              </w:rPr>
            </w:pPr>
            <w:r>
              <w:rPr>
                <w:rFonts w:ascii="Times New Roman" w:hAnsi="Times New Roman"/>
              </w:rPr>
              <w:t>Доставен</w:t>
            </w:r>
          </w:p>
        </w:tc>
        <w:tc>
          <w:tcPr>
            <w:tcW w:w="1316" w:type="dxa"/>
            <w:vAlign w:val="center"/>
          </w:tcPr>
          <w:p w:rsidR="00000000" w:rsidRDefault="003E498D">
            <w:pPr>
              <w:pStyle w:val="NoSpacing"/>
              <w:contextualSpacing/>
              <w:jc w:val="center"/>
              <w:rPr>
                <w:rFonts w:ascii="Times New Roman" w:hAnsi="Times New Roman"/>
              </w:rPr>
            </w:pPr>
            <w:r>
              <w:rPr>
                <w:rFonts w:ascii="Times New Roman" w:hAnsi="Times New Roman"/>
              </w:rPr>
              <w:t>Реализиран</w:t>
            </w:r>
          </w:p>
        </w:tc>
        <w:tc>
          <w:tcPr>
            <w:tcW w:w="1316" w:type="dxa"/>
            <w:vAlign w:val="center"/>
          </w:tcPr>
          <w:p w:rsidR="00000000" w:rsidRDefault="003E498D">
            <w:pPr>
              <w:pStyle w:val="NoSpacing"/>
              <w:contextualSpacing/>
              <w:jc w:val="center"/>
              <w:rPr>
                <w:rFonts w:ascii="Times New Roman" w:hAnsi="Times New Roman"/>
              </w:rPr>
            </w:pPr>
            <w:r>
              <w:rPr>
                <w:rFonts w:ascii="Times New Roman" w:hAnsi="Times New Roman"/>
              </w:rPr>
              <w:t>Дост</w:t>
            </w:r>
            <w:r>
              <w:rPr>
                <w:rFonts w:ascii="Times New Roman" w:hAnsi="Times New Roman"/>
              </w:rPr>
              <w:t>авен</w:t>
            </w:r>
          </w:p>
        </w:tc>
        <w:tc>
          <w:tcPr>
            <w:tcW w:w="1316" w:type="dxa"/>
            <w:vAlign w:val="center"/>
          </w:tcPr>
          <w:p w:rsidR="00000000" w:rsidRDefault="003E498D">
            <w:pPr>
              <w:pStyle w:val="NoSpacing"/>
              <w:contextualSpacing/>
              <w:jc w:val="center"/>
              <w:rPr>
                <w:rFonts w:ascii="Times New Roman" w:hAnsi="Times New Roman"/>
              </w:rPr>
            </w:pPr>
            <w:r>
              <w:rPr>
                <w:rFonts w:ascii="Times New Roman" w:hAnsi="Times New Roman"/>
              </w:rPr>
              <w:t>Реализиран</w:t>
            </w:r>
          </w:p>
        </w:tc>
        <w:tc>
          <w:tcPr>
            <w:tcW w:w="1316" w:type="dxa"/>
            <w:vAlign w:val="center"/>
          </w:tcPr>
          <w:p w:rsidR="00000000" w:rsidRDefault="003E498D">
            <w:pPr>
              <w:pStyle w:val="NoSpacing"/>
              <w:contextualSpacing/>
              <w:jc w:val="center"/>
              <w:rPr>
                <w:rFonts w:ascii="Times New Roman" w:hAnsi="Times New Roman"/>
              </w:rPr>
            </w:pPr>
            <w:r>
              <w:rPr>
                <w:rFonts w:ascii="Times New Roman" w:hAnsi="Times New Roman"/>
              </w:rPr>
              <w:t>Доставен</w:t>
            </w:r>
          </w:p>
        </w:tc>
        <w:tc>
          <w:tcPr>
            <w:tcW w:w="1316" w:type="dxa"/>
            <w:vAlign w:val="center"/>
          </w:tcPr>
          <w:p w:rsidR="00000000" w:rsidRDefault="003E498D">
            <w:pPr>
              <w:pStyle w:val="NoSpacing"/>
              <w:contextualSpacing/>
              <w:jc w:val="center"/>
              <w:rPr>
                <w:rFonts w:ascii="Times New Roman" w:hAnsi="Times New Roman"/>
              </w:rPr>
            </w:pPr>
            <w:r>
              <w:rPr>
                <w:rFonts w:ascii="Times New Roman" w:hAnsi="Times New Roman"/>
              </w:rPr>
              <w:t>Реализиран</w:t>
            </w:r>
          </w:p>
        </w:tc>
      </w:tr>
      <w:tr w:rsidR="00000000">
        <w:tc>
          <w:tcPr>
            <w:tcW w:w="1316" w:type="dxa"/>
            <w:vAlign w:val="center"/>
          </w:tcPr>
          <w:p w:rsidR="00000000" w:rsidRDefault="003E498D">
            <w:pPr>
              <w:pStyle w:val="NoSpacing"/>
              <w:contextualSpacing/>
              <w:jc w:val="center"/>
              <w:rPr>
                <w:rFonts w:ascii="Times New Roman" w:hAnsi="Times New Roman"/>
              </w:rPr>
            </w:pPr>
            <w:r>
              <w:rPr>
                <w:rFonts w:ascii="Times New Roman" w:hAnsi="Times New Roman"/>
              </w:rPr>
              <w:t>2009г.</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lang w:val="en-US"/>
              </w:rPr>
              <w:t xml:space="preserve"> </w:t>
            </w:r>
            <w:r>
              <w:rPr>
                <w:rFonts w:ascii="Times New Roman" w:hAnsi="Times New Roman"/>
                <w:sz w:val="22"/>
                <w:szCs w:val="22"/>
              </w:rPr>
              <w:t>949</w:t>
            </w:r>
            <w:r>
              <w:rPr>
                <w:rFonts w:ascii="Times New Roman" w:hAnsi="Times New Roman"/>
                <w:sz w:val="22"/>
                <w:szCs w:val="22"/>
                <w:lang w:val="en-US"/>
              </w:rPr>
              <w:t xml:space="preserve"> </w:t>
            </w:r>
            <w:r>
              <w:rPr>
                <w:rFonts w:ascii="Times New Roman" w:hAnsi="Times New Roman"/>
                <w:sz w:val="22"/>
                <w:szCs w:val="22"/>
              </w:rPr>
              <w:t>524</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rPr>
              <w:t>2</w:t>
            </w:r>
            <w:r>
              <w:rPr>
                <w:rFonts w:ascii="Times New Roman" w:hAnsi="Times New Roman"/>
                <w:sz w:val="22"/>
                <w:szCs w:val="22"/>
                <w:lang w:val="en-US"/>
              </w:rPr>
              <w:t> </w:t>
            </w:r>
            <w:r>
              <w:rPr>
                <w:rFonts w:ascii="Times New Roman" w:hAnsi="Times New Roman"/>
                <w:sz w:val="22"/>
                <w:szCs w:val="22"/>
              </w:rPr>
              <w:t>043</w:t>
            </w:r>
            <w:r>
              <w:rPr>
                <w:rFonts w:ascii="Times New Roman" w:hAnsi="Times New Roman"/>
                <w:sz w:val="22"/>
                <w:szCs w:val="22"/>
                <w:lang w:val="en-US"/>
              </w:rPr>
              <w:t xml:space="preserve"> </w:t>
            </w:r>
            <w:r>
              <w:rPr>
                <w:rFonts w:ascii="Times New Roman" w:hAnsi="Times New Roman"/>
                <w:sz w:val="22"/>
                <w:szCs w:val="22"/>
              </w:rPr>
              <w:t>091</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lang w:val="en-US"/>
              </w:rPr>
              <w:t> </w:t>
            </w:r>
            <w:r>
              <w:rPr>
                <w:rFonts w:ascii="Times New Roman" w:hAnsi="Times New Roman"/>
                <w:sz w:val="22"/>
                <w:szCs w:val="22"/>
              </w:rPr>
              <w:t>012</w:t>
            </w:r>
            <w:r>
              <w:rPr>
                <w:rFonts w:ascii="Times New Roman" w:hAnsi="Times New Roman"/>
                <w:sz w:val="22"/>
                <w:szCs w:val="22"/>
                <w:lang w:val="en-US"/>
              </w:rPr>
              <w:t xml:space="preserve"> </w:t>
            </w:r>
            <w:r>
              <w:rPr>
                <w:rFonts w:ascii="Times New Roman" w:hAnsi="Times New Roman"/>
                <w:sz w:val="22"/>
                <w:szCs w:val="22"/>
              </w:rPr>
              <w:t>041</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lang w:val="en-US"/>
              </w:rPr>
              <w:t> </w:t>
            </w:r>
            <w:r>
              <w:rPr>
                <w:rFonts w:ascii="Times New Roman" w:hAnsi="Times New Roman"/>
                <w:sz w:val="22"/>
                <w:szCs w:val="22"/>
              </w:rPr>
              <w:t>000</w:t>
            </w:r>
            <w:r>
              <w:rPr>
                <w:rFonts w:ascii="Times New Roman" w:hAnsi="Times New Roman"/>
                <w:sz w:val="22"/>
                <w:szCs w:val="22"/>
                <w:lang w:val="en-US"/>
              </w:rPr>
              <w:t xml:space="preserve"> </w:t>
            </w:r>
            <w:r>
              <w:rPr>
                <w:rFonts w:ascii="Times New Roman" w:hAnsi="Times New Roman"/>
                <w:sz w:val="22"/>
                <w:szCs w:val="22"/>
              </w:rPr>
              <w:t>518</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rPr>
              <w:t>937</w:t>
            </w:r>
            <w:r>
              <w:rPr>
                <w:rFonts w:ascii="Times New Roman" w:hAnsi="Times New Roman"/>
                <w:sz w:val="22"/>
                <w:szCs w:val="22"/>
                <w:lang w:val="en-US"/>
              </w:rPr>
              <w:t xml:space="preserve"> </w:t>
            </w:r>
            <w:r>
              <w:rPr>
                <w:rFonts w:ascii="Times New Roman" w:hAnsi="Times New Roman"/>
                <w:sz w:val="22"/>
                <w:szCs w:val="22"/>
              </w:rPr>
              <w:t>483</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lang w:val="en-US"/>
              </w:rPr>
              <w:t> </w:t>
            </w:r>
            <w:r>
              <w:rPr>
                <w:rFonts w:ascii="Times New Roman" w:hAnsi="Times New Roman"/>
                <w:sz w:val="22"/>
                <w:szCs w:val="22"/>
              </w:rPr>
              <w:t>042</w:t>
            </w:r>
            <w:r>
              <w:rPr>
                <w:rFonts w:ascii="Times New Roman" w:hAnsi="Times New Roman"/>
                <w:sz w:val="22"/>
                <w:szCs w:val="22"/>
                <w:lang w:val="en-US"/>
              </w:rPr>
              <w:t xml:space="preserve"> </w:t>
            </w:r>
            <w:r>
              <w:rPr>
                <w:rFonts w:ascii="Times New Roman" w:hAnsi="Times New Roman"/>
                <w:sz w:val="22"/>
                <w:szCs w:val="22"/>
              </w:rPr>
              <w:t>573</w:t>
            </w:r>
          </w:p>
        </w:tc>
      </w:tr>
      <w:tr w:rsidR="00000000">
        <w:tc>
          <w:tcPr>
            <w:tcW w:w="1316" w:type="dxa"/>
            <w:vAlign w:val="center"/>
          </w:tcPr>
          <w:p w:rsidR="00000000" w:rsidRDefault="003E498D">
            <w:pPr>
              <w:pStyle w:val="NoSpacing"/>
              <w:contextualSpacing/>
              <w:jc w:val="center"/>
              <w:rPr>
                <w:rFonts w:ascii="Times New Roman" w:hAnsi="Times New Roman"/>
              </w:rPr>
            </w:pPr>
            <w:r>
              <w:rPr>
                <w:rFonts w:ascii="Times New Roman" w:hAnsi="Times New Roman"/>
              </w:rPr>
              <w:t>2010г.</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lang w:val="en-US"/>
              </w:rPr>
              <w:t xml:space="preserve">  </w:t>
            </w:r>
            <w:r>
              <w:rPr>
                <w:rFonts w:ascii="Times New Roman" w:hAnsi="Times New Roman"/>
                <w:sz w:val="22"/>
                <w:szCs w:val="22"/>
              </w:rPr>
              <w:t>829</w:t>
            </w:r>
            <w:r>
              <w:rPr>
                <w:rFonts w:ascii="Times New Roman" w:hAnsi="Times New Roman"/>
                <w:sz w:val="22"/>
                <w:szCs w:val="22"/>
                <w:lang w:val="en-US"/>
              </w:rPr>
              <w:t xml:space="preserve"> </w:t>
            </w:r>
            <w:r>
              <w:rPr>
                <w:rFonts w:ascii="Times New Roman" w:hAnsi="Times New Roman"/>
                <w:sz w:val="22"/>
                <w:szCs w:val="22"/>
              </w:rPr>
              <w:t>197</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lang w:val="en-US"/>
              </w:rPr>
              <w:t xml:space="preserve"> </w:t>
            </w:r>
            <w:r>
              <w:rPr>
                <w:rFonts w:ascii="Times New Roman" w:hAnsi="Times New Roman"/>
                <w:sz w:val="22"/>
                <w:szCs w:val="22"/>
              </w:rPr>
              <w:t>833086</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lang w:val="en-US"/>
              </w:rPr>
              <w:t xml:space="preserve"> </w:t>
            </w:r>
            <w:r>
              <w:rPr>
                <w:rFonts w:ascii="Times New Roman" w:hAnsi="Times New Roman"/>
                <w:sz w:val="22"/>
                <w:szCs w:val="22"/>
              </w:rPr>
              <w:t>121</w:t>
            </w:r>
            <w:r>
              <w:rPr>
                <w:rFonts w:ascii="Times New Roman" w:hAnsi="Times New Roman"/>
                <w:sz w:val="22"/>
                <w:szCs w:val="22"/>
                <w:lang w:val="en-US"/>
              </w:rPr>
              <w:t xml:space="preserve"> </w:t>
            </w:r>
            <w:r>
              <w:rPr>
                <w:rFonts w:ascii="Times New Roman" w:hAnsi="Times New Roman"/>
                <w:sz w:val="22"/>
                <w:szCs w:val="22"/>
              </w:rPr>
              <w:t>279</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lang w:val="en-US"/>
              </w:rPr>
              <w:t xml:space="preserve"> </w:t>
            </w:r>
            <w:r>
              <w:rPr>
                <w:rFonts w:ascii="Times New Roman" w:hAnsi="Times New Roman"/>
                <w:sz w:val="22"/>
                <w:szCs w:val="22"/>
              </w:rPr>
              <w:t>374</w:t>
            </w:r>
            <w:r>
              <w:rPr>
                <w:rFonts w:ascii="Times New Roman" w:hAnsi="Times New Roman"/>
                <w:sz w:val="22"/>
                <w:szCs w:val="22"/>
                <w:lang w:val="en-US"/>
              </w:rPr>
              <w:t xml:space="preserve"> </w:t>
            </w:r>
            <w:r>
              <w:rPr>
                <w:rFonts w:ascii="Times New Roman" w:hAnsi="Times New Roman"/>
                <w:sz w:val="22"/>
                <w:szCs w:val="22"/>
              </w:rPr>
              <w:t>889</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rPr>
              <w:t>707</w:t>
            </w:r>
            <w:r>
              <w:rPr>
                <w:rFonts w:ascii="Times New Roman" w:hAnsi="Times New Roman"/>
                <w:sz w:val="22"/>
                <w:szCs w:val="22"/>
                <w:lang w:val="en-US"/>
              </w:rPr>
              <w:t xml:space="preserve"> </w:t>
            </w:r>
            <w:r>
              <w:rPr>
                <w:rFonts w:ascii="Times New Roman" w:hAnsi="Times New Roman"/>
                <w:sz w:val="22"/>
                <w:szCs w:val="22"/>
              </w:rPr>
              <w:t>918</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lang w:val="en-US"/>
              </w:rPr>
              <w:t xml:space="preserve">  </w:t>
            </w:r>
            <w:r>
              <w:rPr>
                <w:rFonts w:ascii="Times New Roman" w:hAnsi="Times New Roman"/>
                <w:sz w:val="22"/>
                <w:szCs w:val="22"/>
              </w:rPr>
              <w:t>458</w:t>
            </w:r>
            <w:r>
              <w:rPr>
                <w:rFonts w:ascii="Times New Roman" w:hAnsi="Times New Roman"/>
                <w:sz w:val="22"/>
                <w:szCs w:val="22"/>
                <w:lang w:val="en-US"/>
              </w:rPr>
              <w:t xml:space="preserve"> </w:t>
            </w:r>
            <w:r>
              <w:rPr>
                <w:rFonts w:ascii="Times New Roman" w:hAnsi="Times New Roman"/>
                <w:sz w:val="22"/>
                <w:szCs w:val="22"/>
              </w:rPr>
              <w:t>197</w:t>
            </w:r>
          </w:p>
        </w:tc>
      </w:tr>
      <w:tr w:rsidR="00000000">
        <w:tc>
          <w:tcPr>
            <w:tcW w:w="1316" w:type="dxa"/>
            <w:vAlign w:val="center"/>
          </w:tcPr>
          <w:p w:rsidR="00000000" w:rsidRDefault="003E498D">
            <w:pPr>
              <w:pStyle w:val="NoSpacing"/>
              <w:contextualSpacing/>
              <w:jc w:val="center"/>
              <w:rPr>
                <w:rFonts w:ascii="Times New Roman" w:hAnsi="Times New Roman"/>
              </w:rPr>
            </w:pPr>
            <w:r>
              <w:rPr>
                <w:rFonts w:ascii="Times New Roman" w:hAnsi="Times New Roman"/>
              </w:rPr>
              <w:t>2011г.</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lang w:val="en-US"/>
              </w:rPr>
              <w:t xml:space="preserve"> </w:t>
            </w:r>
            <w:r>
              <w:rPr>
                <w:rFonts w:ascii="Times New Roman" w:hAnsi="Times New Roman"/>
                <w:sz w:val="22"/>
                <w:szCs w:val="22"/>
              </w:rPr>
              <w:t>237</w:t>
            </w:r>
            <w:r>
              <w:rPr>
                <w:rFonts w:ascii="Times New Roman" w:hAnsi="Times New Roman"/>
                <w:sz w:val="22"/>
                <w:szCs w:val="22"/>
                <w:lang w:val="en-US"/>
              </w:rPr>
              <w:t xml:space="preserve"> </w:t>
            </w:r>
            <w:r>
              <w:rPr>
                <w:rFonts w:ascii="Times New Roman" w:hAnsi="Times New Roman"/>
                <w:sz w:val="22"/>
                <w:szCs w:val="22"/>
              </w:rPr>
              <w:t>715</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lang w:val="en-US"/>
              </w:rPr>
              <w:t> </w:t>
            </w:r>
            <w:r>
              <w:rPr>
                <w:rFonts w:ascii="Times New Roman" w:hAnsi="Times New Roman"/>
                <w:sz w:val="22"/>
                <w:szCs w:val="22"/>
              </w:rPr>
              <w:t>109</w:t>
            </w:r>
            <w:r>
              <w:rPr>
                <w:rFonts w:ascii="Times New Roman" w:hAnsi="Times New Roman"/>
                <w:sz w:val="22"/>
                <w:szCs w:val="22"/>
                <w:lang w:val="en-US"/>
              </w:rPr>
              <w:t xml:space="preserve"> </w:t>
            </w:r>
            <w:r>
              <w:rPr>
                <w:rFonts w:ascii="Times New Roman" w:hAnsi="Times New Roman"/>
                <w:sz w:val="22"/>
                <w:szCs w:val="22"/>
              </w:rPr>
              <w:t>986</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lang w:val="en-US"/>
              </w:rPr>
              <w:t xml:space="preserve"> </w:t>
            </w:r>
            <w:r>
              <w:rPr>
                <w:rFonts w:ascii="Times New Roman" w:hAnsi="Times New Roman"/>
                <w:sz w:val="22"/>
                <w:szCs w:val="22"/>
              </w:rPr>
              <w:t>651</w:t>
            </w:r>
            <w:r>
              <w:rPr>
                <w:rFonts w:ascii="Times New Roman" w:hAnsi="Times New Roman"/>
                <w:sz w:val="22"/>
                <w:szCs w:val="22"/>
                <w:lang w:val="en-US"/>
              </w:rPr>
              <w:t xml:space="preserve"> </w:t>
            </w:r>
            <w:r>
              <w:rPr>
                <w:rFonts w:ascii="Times New Roman" w:hAnsi="Times New Roman"/>
                <w:sz w:val="22"/>
                <w:szCs w:val="22"/>
              </w:rPr>
              <w:t>144</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lang w:val="en-US"/>
              </w:rPr>
              <w:t xml:space="preserve"> </w:t>
            </w:r>
            <w:r>
              <w:rPr>
                <w:rFonts w:ascii="Times New Roman" w:hAnsi="Times New Roman"/>
                <w:sz w:val="22"/>
                <w:szCs w:val="22"/>
              </w:rPr>
              <w:t>499</w:t>
            </w:r>
            <w:r>
              <w:rPr>
                <w:rFonts w:ascii="Times New Roman" w:hAnsi="Times New Roman"/>
                <w:sz w:val="22"/>
                <w:szCs w:val="22"/>
                <w:lang w:val="en-US"/>
              </w:rPr>
              <w:t xml:space="preserve"> </w:t>
            </w:r>
            <w:r>
              <w:rPr>
                <w:rFonts w:ascii="Times New Roman" w:hAnsi="Times New Roman"/>
                <w:sz w:val="22"/>
                <w:szCs w:val="22"/>
              </w:rPr>
              <w:t>493</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rPr>
              <w:t>586</w:t>
            </w:r>
            <w:r>
              <w:rPr>
                <w:rFonts w:ascii="Times New Roman" w:hAnsi="Times New Roman"/>
                <w:sz w:val="22"/>
                <w:szCs w:val="22"/>
                <w:lang w:val="en-US"/>
              </w:rPr>
              <w:t xml:space="preserve"> </w:t>
            </w:r>
            <w:r>
              <w:rPr>
                <w:rFonts w:ascii="Times New Roman" w:hAnsi="Times New Roman"/>
                <w:sz w:val="22"/>
                <w:szCs w:val="22"/>
              </w:rPr>
              <w:t>571</w:t>
            </w:r>
          </w:p>
        </w:tc>
        <w:tc>
          <w:tcPr>
            <w:tcW w:w="1316" w:type="dxa"/>
            <w:vAlign w:val="center"/>
          </w:tcPr>
          <w:p w:rsidR="00000000" w:rsidRDefault="003E498D">
            <w:pPr>
              <w:contextualSpacing/>
              <w:jc w:val="center"/>
              <w:rPr>
                <w:rFonts w:ascii="Times New Roman" w:hAnsi="Times New Roman"/>
                <w:sz w:val="22"/>
                <w:szCs w:val="22"/>
              </w:rPr>
            </w:pPr>
            <w:r>
              <w:rPr>
                <w:rFonts w:ascii="Times New Roman" w:hAnsi="Times New Roman"/>
                <w:sz w:val="22"/>
                <w:szCs w:val="22"/>
                <w:lang w:val="en-US"/>
              </w:rPr>
              <w:t xml:space="preserve">  </w:t>
            </w:r>
            <w:r>
              <w:rPr>
                <w:rFonts w:ascii="Times New Roman" w:hAnsi="Times New Roman"/>
                <w:sz w:val="22"/>
                <w:szCs w:val="22"/>
              </w:rPr>
              <w:t>610</w:t>
            </w:r>
            <w:r>
              <w:rPr>
                <w:rFonts w:ascii="Times New Roman" w:hAnsi="Times New Roman"/>
                <w:sz w:val="22"/>
                <w:szCs w:val="22"/>
                <w:lang w:val="en-US"/>
              </w:rPr>
              <w:t xml:space="preserve"> </w:t>
            </w:r>
            <w:r>
              <w:rPr>
                <w:rFonts w:ascii="Times New Roman" w:hAnsi="Times New Roman"/>
                <w:sz w:val="22"/>
                <w:szCs w:val="22"/>
              </w:rPr>
              <w:t>493</w:t>
            </w:r>
          </w:p>
        </w:tc>
      </w:tr>
    </w:tbl>
    <w:p w:rsidR="00000000" w:rsidRDefault="003E498D">
      <w:pPr>
        <w:pStyle w:val="NoSpacing"/>
        <w:contextualSpacing/>
        <w:jc w:val="both"/>
        <w:rPr>
          <w:rFonts w:ascii="Times New Roman" w:hAnsi="Times New Roman"/>
          <w:sz w:val="26"/>
          <w:szCs w:val="26"/>
          <w:lang w:val="en-US"/>
        </w:rPr>
      </w:pPr>
      <w:r>
        <w:rPr>
          <w:rFonts w:ascii="Times New Roman" w:hAnsi="Times New Roman"/>
          <w:sz w:val="26"/>
          <w:szCs w:val="26"/>
        </w:rPr>
        <w:tab/>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От данните в таблицата мо</w:t>
      </w:r>
      <w:r>
        <w:rPr>
          <w:rFonts w:ascii="Times New Roman" w:hAnsi="Times New Roman"/>
          <w:sz w:val="26"/>
          <w:szCs w:val="26"/>
        </w:rPr>
        <w:t>же да се направи изводът, че през 2010 г. броят доставен и съответно реализиран тираж значително намалява спрямо този през 2009 г. През 2011 г. е налице увеличаване на тиража, което обаче не достига тиража, доставен и реализиран в 2009 г.</w:t>
      </w:r>
    </w:p>
    <w:p w:rsidR="00000000" w:rsidRDefault="003E498D">
      <w:pPr>
        <w:pStyle w:val="NoSpacing"/>
        <w:ind w:firstLine="708"/>
        <w:contextualSpacing/>
        <w:jc w:val="both"/>
        <w:rPr>
          <w:rFonts w:ascii="Times New Roman" w:hAnsi="Times New Roman"/>
          <w:sz w:val="26"/>
          <w:szCs w:val="26"/>
        </w:rPr>
      </w:pPr>
      <w:bookmarkStart w:id="17" w:name="_Toc340653771"/>
      <w:r>
        <w:rPr>
          <w:rFonts w:ascii="Times New Roman" w:hAnsi="Times New Roman"/>
          <w:b/>
          <w:sz w:val="26"/>
          <w:szCs w:val="26"/>
        </w:rPr>
        <w:t>„Бояна – 97“ ЕООД</w:t>
      </w:r>
      <w:bookmarkEnd w:id="17"/>
      <w:r>
        <w:rPr>
          <w:rFonts w:ascii="Times New Roman" w:hAnsi="Times New Roman"/>
          <w:b/>
          <w:sz w:val="26"/>
          <w:szCs w:val="26"/>
        </w:rPr>
        <w:t xml:space="preserve">, София  /ЕИК 121476612/ </w:t>
      </w:r>
      <w:r>
        <w:rPr>
          <w:rFonts w:ascii="Times New Roman" w:hAnsi="Times New Roman"/>
          <w:sz w:val="26"/>
          <w:szCs w:val="26"/>
        </w:rPr>
        <w:t>от създаването си през 1995г. до настоящия момент е под едноличния контрол на Божидар Джингаров, който е собственик и на ЕТ „Дарко-5“, София с основен предмет на дейност продажба и разпространение на печатни  произведения.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 „Бояна </w:t>
      </w:r>
      <w:r>
        <w:rPr>
          <w:rFonts w:ascii="Times New Roman" w:hAnsi="Times New Roman"/>
          <w:sz w:val="26"/>
          <w:szCs w:val="26"/>
        </w:rPr>
        <w:t xml:space="preserve">– 97“ ЕООД няма собствени пунктове за продажба, но има </w:t>
      </w:r>
      <w:r>
        <w:rPr>
          <w:rFonts w:ascii="Times New Roman" w:hAnsi="Times New Roman"/>
        </w:rPr>
        <w:t>(...)</w:t>
      </w:r>
      <w:r>
        <w:rPr>
          <w:rFonts w:ascii="Times New Roman" w:hAnsi="Times New Roman"/>
        </w:rPr>
        <w:sym w:font="Symbol" w:char="F02A"/>
      </w:r>
      <w:r>
        <w:rPr>
          <w:rFonts w:ascii="Times New Roman" w:hAnsi="Times New Roman"/>
          <w:sz w:val="26"/>
          <w:szCs w:val="26"/>
        </w:rPr>
        <w:t>.</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Дружеството купува печатните издания директно от издатели („Икономедиа“ АД - в. Капитал, в. Капитал Дейли) или от други търговци на едро („Братя Герини Прес“ ЕООД– в.24 часа, в.Труд; в.168 часа</w:t>
      </w:r>
      <w:r>
        <w:rPr>
          <w:rFonts w:ascii="Times New Roman" w:hAnsi="Times New Roman"/>
          <w:sz w:val="26"/>
          <w:szCs w:val="26"/>
        </w:rPr>
        <w:t>, в. Седмичен труд, в. Банкер, в. Галерия, в. Уикенд; „Пресмаркет“ ЕООД – в.Монитор, в. Телеграф и в. Политика) и продава печатните издания на търговци на дребно (наематели на пунктове за продажба на периодичен печат), на други обекти (магазини/супермаркет</w:t>
      </w:r>
      <w:r>
        <w:rPr>
          <w:rFonts w:ascii="Times New Roman" w:hAnsi="Times New Roman"/>
          <w:sz w:val="26"/>
          <w:szCs w:val="26"/>
        </w:rPr>
        <w:t xml:space="preserve">и и кафенета), както и на дистрибутори на едро. </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Таблица № 17 съдържа данни за доставения и реализиран от дружеството тираж национални вестници.</w:t>
      </w:r>
    </w:p>
    <w:p w:rsidR="00000000" w:rsidRDefault="003E498D">
      <w:pPr>
        <w:pStyle w:val="NoSpacing"/>
        <w:ind w:left="6372"/>
        <w:contextualSpacing/>
        <w:jc w:val="right"/>
        <w:rPr>
          <w:rFonts w:ascii="Times New Roman" w:hAnsi="Times New Roman"/>
          <w:sz w:val="26"/>
          <w:szCs w:val="26"/>
        </w:rPr>
      </w:pPr>
      <w:r>
        <w:rPr>
          <w:rFonts w:ascii="Times New Roman" w:hAnsi="Times New Roman"/>
          <w:sz w:val="26"/>
          <w:szCs w:val="26"/>
        </w:rPr>
        <w:t xml:space="preserve"> Таблица № 17</w:t>
      </w:r>
      <w:r>
        <w:rPr>
          <w:rFonts w:ascii="Times New Roman" w:hAnsi="Times New Roman"/>
          <w:kern w:val="16"/>
          <w:sz w:val="26"/>
          <w:szCs w:val="26"/>
          <w:lang w:eastAsia="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4"/>
        <w:gridCol w:w="1289"/>
        <w:gridCol w:w="1389"/>
        <w:gridCol w:w="1289"/>
        <w:gridCol w:w="1389"/>
        <w:gridCol w:w="1289"/>
        <w:gridCol w:w="1389"/>
      </w:tblGrid>
      <w:tr w:rsidR="00000000">
        <w:tc>
          <w:tcPr>
            <w:tcW w:w="1254" w:type="dxa"/>
            <w:vMerge w:val="restart"/>
            <w:vAlign w:val="center"/>
          </w:tcPr>
          <w:p w:rsidR="00000000" w:rsidRDefault="003E498D">
            <w:pPr>
              <w:pStyle w:val="NoSpacing"/>
              <w:contextualSpacing/>
              <w:jc w:val="center"/>
              <w:rPr>
                <w:rFonts w:ascii="Times New Roman" w:hAnsi="Times New Roman"/>
              </w:rPr>
            </w:pPr>
            <w:r>
              <w:rPr>
                <w:rFonts w:ascii="Times New Roman" w:hAnsi="Times New Roman"/>
              </w:rPr>
              <w:t>Година</w:t>
            </w:r>
          </w:p>
        </w:tc>
        <w:tc>
          <w:tcPr>
            <w:tcW w:w="8034" w:type="dxa"/>
            <w:gridSpan w:val="6"/>
          </w:tcPr>
          <w:p w:rsidR="00000000" w:rsidRDefault="003E498D">
            <w:pPr>
              <w:pStyle w:val="NoSpacing"/>
              <w:contextualSpacing/>
              <w:jc w:val="center"/>
              <w:rPr>
                <w:rFonts w:ascii="Times New Roman" w:hAnsi="Times New Roman"/>
              </w:rPr>
            </w:pPr>
            <w:r>
              <w:rPr>
                <w:rFonts w:ascii="Times New Roman" w:hAnsi="Times New Roman"/>
              </w:rPr>
              <w:t>Национални вестници - тираж /брой/</w:t>
            </w:r>
          </w:p>
        </w:tc>
      </w:tr>
      <w:tr w:rsidR="00000000">
        <w:tc>
          <w:tcPr>
            <w:tcW w:w="1254" w:type="dxa"/>
            <w:vMerge/>
          </w:tcPr>
          <w:p w:rsidR="00000000" w:rsidRDefault="003E498D">
            <w:pPr>
              <w:pStyle w:val="NoSpacing"/>
              <w:contextualSpacing/>
              <w:jc w:val="both"/>
              <w:rPr>
                <w:rFonts w:ascii="Times New Roman" w:hAnsi="Times New Roman"/>
              </w:rPr>
            </w:pPr>
          </w:p>
        </w:tc>
        <w:tc>
          <w:tcPr>
            <w:tcW w:w="2678" w:type="dxa"/>
            <w:gridSpan w:val="2"/>
          </w:tcPr>
          <w:p w:rsidR="00000000" w:rsidRDefault="003E498D">
            <w:pPr>
              <w:pStyle w:val="NoSpacing"/>
              <w:contextualSpacing/>
              <w:jc w:val="center"/>
              <w:rPr>
                <w:rFonts w:ascii="Times New Roman" w:hAnsi="Times New Roman"/>
              </w:rPr>
            </w:pPr>
            <w:r>
              <w:rPr>
                <w:rFonts w:ascii="Times New Roman" w:hAnsi="Times New Roman"/>
              </w:rPr>
              <w:t>Общо</w:t>
            </w:r>
          </w:p>
        </w:tc>
        <w:tc>
          <w:tcPr>
            <w:tcW w:w="2678" w:type="dxa"/>
            <w:gridSpan w:val="2"/>
          </w:tcPr>
          <w:p w:rsidR="00000000" w:rsidRDefault="003E498D">
            <w:pPr>
              <w:pStyle w:val="NoSpacing"/>
              <w:contextualSpacing/>
              <w:jc w:val="center"/>
              <w:rPr>
                <w:rFonts w:ascii="Times New Roman" w:hAnsi="Times New Roman"/>
              </w:rPr>
            </w:pPr>
            <w:r>
              <w:rPr>
                <w:rFonts w:ascii="Times New Roman" w:hAnsi="Times New Roman"/>
              </w:rPr>
              <w:t>Ежедневници</w:t>
            </w:r>
          </w:p>
        </w:tc>
        <w:tc>
          <w:tcPr>
            <w:tcW w:w="2678" w:type="dxa"/>
            <w:gridSpan w:val="2"/>
          </w:tcPr>
          <w:p w:rsidR="00000000" w:rsidRDefault="003E498D">
            <w:pPr>
              <w:pStyle w:val="NoSpacing"/>
              <w:contextualSpacing/>
              <w:jc w:val="center"/>
              <w:rPr>
                <w:rFonts w:ascii="Times New Roman" w:hAnsi="Times New Roman"/>
              </w:rPr>
            </w:pPr>
            <w:r>
              <w:rPr>
                <w:rFonts w:ascii="Times New Roman" w:hAnsi="Times New Roman"/>
              </w:rPr>
              <w:t>Седмичници</w:t>
            </w:r>
          </w:p>
        </w:tc>
      </w:tr>
      <w:tr w:rsidR="00000000">
        <w:tc>
          <w:tcPr>
            <w:tcW w:w="1254" w:type="dxa"/>
            <w:vMerge/>
          </w:tcPr>
          <w:p w:rsidR="00000000" w:rsidRDefault="003E498D">
            <w:pPr>
              <w:pStyle w:val="NoSpacing"/>
              <w:contextualSpacing/>
              <w:jc w:val="both"/>
              <w:rPr>
                <w:rFonts w:ascii="Times New Roman" w:hAnsi="Times New Roman"/>
              </w:rPr>
            </w:pPr>
          </w:p>
        </w:tc>
        <w:tc>
          <w:tcPr>
            <w:tcW w:w="1289" w:type="dxa"/>
          </w:tcPr>
          <w:p w:rsidR="00000000" w:rsidRDefault="003E498D">
            <w:pPr>
              <w:pStyle w:val="NoSpacing"/>
              <w:contextualSpacing/>
              <w:jc w:val="center"/>
              <w:rPr>
                <w:rFonts w:ascii="Times New Roman" w:hAnsi="Times New Roman"/>
              </w:rPr>
            </w:pPr>
            <w:r>
              <w:rPr>
                <w:rFonts w:ascii="Times New Roman" w:hAnsi="Times New Roman"/>
              </w:rPr>
              <w:t>Доставен</w:t>
            </w:r>
          </w:p>
        </w:tc>
        <w:tc>
          <w:tcPr>
            <w:tcW w:w="1389" w:type="dxa"/>
          </w:tcPr>
          <w:p w:rsidR="00000000" w:rsidRDefault="003E498D">
            <w:pPr>
              <w:pStyle w:val="NoSpacing"/>
              <w:contextualSpacing/>
              <w:jc w:val="center"/>
              <w:rPr>
                <w:rFonts w:ascii="Times New Roman" w:hAnsi="Times New Roman"/>
              </w:rPr>
            </w:pPr>
            <w:r>
              <w:rPr>
                <w:rFonts w:ascii="Times New Roman" w:hAnsi="Times New Roman"/>
              </w:rPr>
              <w:t>Реализир</w:t>
            </w:r>
            <w:r>
              <w:rPr>
                <w:rFonts w:ascii="Times New Roman" w:hAnsi="Times New Roman"/>
              </w:rPr>
              <w:t>ан</w:t>
            </w:r>
          </w:p>
        </w:tc>
        <w:tc>
          <w:tcPr>
            <w:tcW w:w="1289" w:type="dxa"/>
          </w:tcPr>
          <w:p w:rsidR="00000000" w:rsidRDefault="003E498D">
            <w:pPr>
              <w:pStyle w:val="NoSpacing"/>
              <w:contextualSpacing/>
              <w:jc w:val="center"/>
              <w:rPr>
                <w:rFonts w:ascii="Times New Roman" w:hAnsi="Times New Roman"/>
              </w:rPr>
            </w:pPr>
            <w:r>
              <w:rPr>
                <w:rFonts w:ascii="Times New Roman" w:hAnsi="Times New Roman"/>
              </w:rPr>
              <w:t>Доставен</w:t>
            </w:r>
          </w:p>
        </w:tc>
        <w:tc>
          <w:tcPr>
            <w:tcW w:w="1389" w:type="dxa"/>
          </w:tcPr>
          <w:p w:rsidR="00000000" w:rsidRDefault="003E498D">
            <w:pPr>
              <w:pStyle w:val="NoSpacing"/>
              <w:contextualSpacing/>
              <w:jc w:val="center"/>
              <w:rPr>
                <w:rFonts w:ascii="Times New Roman" w:hAnsi="Times New Roman"/>
              </w:rPr>
            </w:pPr>
            <w:r>
              <w:rPr>
                <w:rFonts w:ascii="Times New Roman" w:hAnsi="Times New Roman"/>
              </w:rPr>
              <w:t>Реализиран</w:t>
            </w:r>
          </w:p>
        </w:tc>
        <w:tc>
          <w:tcPr>
            <w:tcW w:w="1289" w:type="dxa"/>
          </w:tcPr>
          <w:p w:rsidR="00000000" w:rsidRDefault="003E498D">
            <w:pPr>
              <w:pStyle w:val="NoSpacing"/>
              <w:contextualSpacing/>
              <w:jc w:val="center"/>
              <w:rPr>
                <w:rFonts w:ascii="Times New Roman" w:hAnsi="Times New Roman"/>
              </w:rPr>
            </w:pPr>
            <w:r>
              <w:rPr>
                <w:rFonts w:ascii="Times New Roman" w:hAnsi="Times New Roman"/>
              </w:rPr>
              <w:t>Доставен</w:t>
            </w:r>
          </w:p>
        </w:tc>
        <w:tc>
          <w:tcPr>
            <w:tcW w:w="1389" w:type="dxa"/>
          </w:tcPr>
          <w:p w:rsidR="00000000" w:rsidRDefault="003E498D">
            <w:pPr>
              <w:pStyle w:val="NoSpacing"/>
              <w:contextualSpacing/>
              <w:jc w:val="center"/>
              <w:rPr>
                <w:rFonts w:ascii="Times New Roman" w:hAnsi="Times New Roman"/>
              </w:rPr>
            </w:pPr>
            <w:r>
              <w:rPr>
                <w:rFonts w:ascii="Times New Roman" w:hAnsi="Times New Roman"/>
              </w:rPr>
              <w:t>Реализиран</w:t>
            </w:r>
          </w:p>
        </w:tc>
      </w:tr>
      <w:tr w:rsidR="00000000">
        <w:tc>
          <w:tcPr>
            <w:tcW w:w="1254" w:type="dxa"/>
            <w:vAlign w:val="center"/>
          </w:tcPr>
          <w:p w:rsidR="00000000" w:rsidRDefault="003E498D">
            <w:pPr>
              <w:pStyle w:val="NoSpacing"/>
              <w:contextualSpacing/>
              <w:jc w:val="both"/>
              <w:rPr>
                <w:rFonts w:ascii="Times New Roman" w:hAnsi="Times New Roman"/>
              </w:rPr>
            </w:pPr>
            <w:r>
              <w:rPr>
                <w:rFonts w:ascii="Times New Roman" w:hAnsi="Times New Roman"/>
              </w:rPr>
              <w:t>2009г.</w:t>
            </w:r>
          </w:p>
        </w:tc>
        <w:tc>
          <w:tcPr>
            <w:tcW w:w="12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r w:rsidR="00000000">
        <w:tc>
          <w:tcPr>
            <w:tcW w:w="1254" w:type="dxa"/>
            <w:vAlign w:val="center"/>
          </w:tcPr>
          <w:p w:rsidR="00000000" w:rsidRDefault="003E498D">
            <w:pPr>
              <w:pStyle w:val="NoSpacing"/>
              <w:contextualSpacing/>
              <w:jc w:val="both"/>
              <w:rPr>
                <w:rFonts w:ascii="Times New Roman" w:hAnsi="Times New Roman"/>
              </w:rPr>
            </w:pPr>
            <w:r>
              <w:rPr>
                <w:rFonts w:ascii="Times New Roman" w:hAnsi="Times New Roman"/>
              </w:rPr>
              <w:t>2010г.</w:t>
            </w:r>
          </w:p>
        </w:tc>
        <w:tc>
          <w:tcPr>
            <w:tcW w:w="12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r w:rsidR="00000000">
        <w:tc>
          <w:tcPr>
            <w:tcW w:w="1254" w:type="dxa"/>
            <w:vAlign w:val="center"/>
          </w:tcPr>
          <w:p w:rsidR="00000000" w:rsidRDefault="003E498D">
            <w:pPr>
              <w:pStyle w:val="NoSpacing"/>
              <w:contextualSpacing/>
              <w:jc w:val="both"/>
              <w:rPr>
                <w:rFonts w:ascii="Times New Roman" w:hAnsi="Times New Roman"/>
              </w:rPr>
            </w:pPr>
            <w:r>
              <w:rPr>
                <w:rFonts w:ascii="Times New Roman" w:hAnsi="Times New Roman"/>
              </w:rPr>
              <w:t>2011г.</w:t>
            </w:r>
          </w:p>
        </w:tc>
        <w:tc>
          <w:tcPr>
            <w:tcW w:w="12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2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1389"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bl>
    <w:p w:rsidR="00000000" w:rsidRDefault="003E498D">
      <w:pPr>
        <w:pStyle w:val="NoSpacing"/>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 xml:space="preserve">За анализирания период е налице увеличаване на реализацията </w:t>
      </w:r>
      <w:r>
        <w:rPr>
          <w:rFonts w:ascii="Times New Roman" w:hAnsi="Times New Roman"/>
          <w:sz w:val="26"/>
          <w:szCs w:val="26"/>
        </w:rPr>
        <w:t xml:space="preserve">общо на национални вестници спрямо 2009г., като най-значимо е то през 2010г. </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 xml:space="preserve">Таблица № 18 представя информация за каналите на дистрибуция, по които дружеството реализира печатните издания.  </w:t>
      </w:r>
    </w:p>
    <w:p w:rsidR="00000000" w:rsidRDefault="003E498D">
      <w:pPr>
        <w:pStyle w:val="NoSpacing"/>
        <w:contextualSpacing/>
        <w:jc w:val="right"/>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Таблица № 18</w:t>
      </w:r>
      <w:r>
        <w:rPr>
          <w:rFonts w:ascii="Times New Roman" w:hAnsi="Times New Roman"/>
          <w:kern w:val="16"/>
          <w:sz w:val="26"/>
          <w:szCs w:val="26"/>
          <w:lang w:eastAsia="bg-BG"/>
        </w:rPr>
        <w:t>(….)*</w:t>
      </w:r>
      <w:r>
        <w:rPr>
          <w:rFonts w:ascii="Times New Roman" w:hAnsi="Times New Roman"/>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686"/>
        <w:gridCol w:w="4142"/>
      </w:tblGrid>
      <w:tr w:rsidR="00000000">
        <w:tc>
          <w:tcPr>
            <w:tcW w:w="1384" w:type="dxa"/>
            <w:vMerge w:val="restart"/>
          </w:tcPr>
          <w:p w:rsidR="00000000" w:rsidRDefault="003E498D">
            <w:pPr>
              <w:pStyle w:val="NoSpacing"/>
              <w:contextualSpacing/>
              <w:jc w:val="center"/>
              <w:rPr>
                <w:rFonts w:ascii="Times New Roman" w:hAnsi="Times New Roman"/>
                <w:spacing w:val="1"/>
              </w:rPr>
            </w:pPr>
            <w:r>
              <w:rPr>
                <w:rFonts w:ascii="Times New Roman" w:hAnsi="Times New Roman"/>
                <w:spacing w:val="1"/>
              </w:rPr>
              <w:t>Година</w:t>
            </w:r>
          </w:p>
        </w:tc>
        <w:tc>
          <w:tcPr>
            <w:tcW w:w="7828" w:type="dxa"/>
            <w:gridSpan w:val="2"/>
          </w:tcPr>
          <w:p w:rsidR="00000000" w:rsidRDefault="003E498D">
            <w:pPr>
              <w:pStyle w:val="NoSpacing"/>
              <w:contextualSpacing/>
              <w:jc w:val="center"/>
              <w:rPr>
                <w:rFonts w:ascii="Times New Roman" w:hAnsi="Times New Roman"/>
                <w:spacing w:val="1"/>
              </w:rPr>
            </w:pPr>
            <w:r>
              <w:rPr>
                <w:rFonts w:ascii="Times New Roman" w:hAnsi="Times New Roman"/>
                <w:b/>
                <w:spacing w:val="1"/>
              </w:rPr>
              <w:t>Реализирани издания /бр./ по</w:t>
            </w:r>
            <w:r>
              <w:rPr>
                <w:rFonts w:ascii="Times New Roman" w:hAnsi="Times New Roman"/>
                <w:b/>
                <w:spacing w:val="1"/>
              </w:rPr>
              <w:t xml:space="preserve"> видове канали на дистрибуция</w:t>
            </w:r>
          </w:p>
        </w:tc>
      </w:tr>
      <w:tr w:rsidR="00000000">
        <w:tc>
          <w:tcPr>
            <w:tcW w:w="1384" w:type="dxa"/>
            <w:vMerge/>
          </w:tcPr>
          <w:p w:rsidR="00000000" w:rsidRDefault="003E498D">
            <w:pPr>
              <w:pStyle w:val="NoSpacing"/>
              <w:contextualSpacing/>
              <w:jc w:val="both"/>
              <w:rPr>
                <w:rFonts w:ascii="Times New Roman" w:hAnsi="Times New Roman"/>
                <w:spacing w:val="1"/>
              </w:rPr>
            </w:pPr>
          </w:p>
        </w:tc>
        <w:tc>
          <w:tcPr>
            <w:tcW w:w="3686"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Независими дистрибутори на едро</w:t>
            </w:r>
          </w:p>
        </w:tc>
        <w:tc>
          <w:tcPr>
            <w:tcW w:w="4142" w:type="dxa"/>
          </w:tcPr>
          <w:p w:rsidR="00000000" w:rsidRDefault="003E498D">
            <w:pPr>
              <w:pStyle w:val="NoSpacing"/>
              <w:contextualSpacing/>
              <w:jc w:val="center"/>
              <w:rPr>
                <w:rFonts w:ascii="Times New Roman" w:hAnsi="Times New Roman"/>
                <w:spacing w:val="1"/>
              </w:rPr>
            </w:pPr>
            <w:r>
              <w:rPr>
                <w:rFonts w:ascii="Times New Roman" w:hAnsi="Times New Roman"/>
                <w:spacing w:val="1"/>
              </w:rPr>
              <w:t>Независими крайни пунктове</w:t>
            </w:r>
          </w:p>
        </w:tc>
      </w:tr>
      <w:tr w:rsidR="00000000">
        <w:tc>
          <w:tcPr>
            <w:tcW w:w="1384"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2009 г.</w:t>
            </w:r>
          </w:p>
        </w:tc>
        <w:tc>
          <w:tcPr>
            <w:tcW w:w="36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4142"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r w:rsidR="00000000">
        <w:tc>
          <w:tcPr>
            <w:tcW w:w="1384"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2010 г.</w:t>
            </w:r>
          </w:p>
        </w:tc>
        <w:tc>
          <w:tcPr>
            <w:tcW w:w="36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4142"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r w:rsidR="00000000">
        <w:tc>
          <w:tcPr>
            <w:tcW w:w="1384" w:type="dxa"/>
          </w:tcPr>
          <w:p w:rsidR="00000000" w:rsidRDefault="003E498D">
            <w:pPr>
              <w:pStyle w:val="NoSpacing"/>
              <w:contextualSpacing/>
              <w:jc w:val="both"/>
              <w:rPr>
                <w:rFonts w:ascii="Times New Roman" w:hAnsi="Times New Roman"/>
                <w:spacing w:val="1"/>
              </w:rPr>
            </w:pPr>
            <w:r>
              <w:rPr>
                <w:rFonts w:ascii="Times New Roman" w:hAnsi="Times New Roman"/>
                <w:spacing w:val="1"/>
              </w:rPr>
              <w:t>2011 г.</w:t>
            </w:r>
          </w:p>
        </w:tc>
        <w:tc>
          <w:tcPr>
            <w:tcW w:w="3686"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c>
          <w:tcPr>
            <w:tcW w:w="4142" w:type="dxa"/>
          </w:tcPr>
          <w:p w:rsidR="00000000" w:rsidRDefault="003E498D">
            <w:pPr>
              <w:jc w:val="center"/>
            </w:pPr>
            <w:r>
              <w:rPr>
                <w:rFonts w:ascii="Times New Roman" w:hAnsi="Times New Roman"/>
                <w:sz w:val="22"/>
                <w:szCs w:val="22"/>
              </w:rPr>
              <w:t>(...)</w:t>
            </w:r>
            <w:r>
              <w:rPr>
                <w:rFonts w:ascii="Times New Roman" w:hAnsi="Times New Roman"/>
                <w:sz w:val="22"/>
                <w:szCs w:val="22"/>
              </w:rPr>
              <w:sym w:font="Symbol" w:char="F02A"/>
            </w:r>
          </w:p>
        </w:tc>
      </w:tr>
    </w:tbl>
    <w:p w:rsidR="00000000" w:rsidRDefault="003E498D">
      <w:pPr>
        <w:pStyle w:val="NoSpacing"/>
        <w:contextualSpacing/>
        <w:jc w:val="both"/>
        <w:rPr>
          <w:rFonts w:ascii="Times New Roman" w:hAnsi="Times New Roman"/>
          <w:b/>
          <w:sz w:val="26"/>
          <w:szCs w:val="26"/>
        </w:rPr>
      </w:pP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От таблицата е видно, че „Бояна-97“ ЕООД реализира печатните издания основно чрез независими д</w:t>
      </w:r>
      <w:r>
        <w:rPr>
          <w:rFonts w:ascii="Times New Roman" w:hAnsi="Times New Roman"/>
          <w:sz w:val="26"/>
          <w:szCs w:val="26"/>
        </w:rPr>
        <w:t xml:space="preserve">истрибутори на едро, които формират съответно 58 % (2009г.), 68 % (2010г.), 74 % (2011г.) спрямо общо реализираните издания, а другата част доставя на крайни пунктове за продажба на дребно. </w:t>
      </w:r>
    </w:p>
    <w:p w:rsidR="00000000" w:rsidRDefault="003E498D">
      <w:pPr>
        <w:pStyle w:val="NoSpacing"/>
        <w:contextualSpacing/>
        <w:jc w:val="both"/>
        <w:rPr>
          <w:rFonts w:ascii="Times New Roman" w:hAnsi="Times New Roman"/>
          <w:sz w:val="26"/>
          <w:szCs w:val="26"/>
        </w:rPr>
      </w:pPr>
    </w:p>
    <w:p w:rsidR="00000000" w:rsidRDefault="003E498D">
      <w:pPr>
        <w:pStyle w:val="NoSpacing"/>
        <w:ind w:firstLine="708"/>
        <w:contextualSpacing/>
        <w:jc w:val="both"/>
        <w:rPr>
          <w:rFonts w:ascii="Times New Roman" w:hAnsi="Times New Roman"/>
          <w:sz w:val="26"/>
          <w:szCs w:val="26"/>
        </w:rPr>
      </w:pPr>
      <w:bookmarkStart w:id="18" w:name="_Toc340653772"/>
      <w:r>
        <w:rPr>
          <w:rFonts w:ascii="Times New Roman" w:hAnsi="Times New Roman"/>
          <w:b/>
          <w:sz w:val="26"/>
          <w:szCs w:val="26"/>
        </w:rPr>
        <w:lastRenderedPageBreak/>
        <w:t>ЕТ „Тони-ДВ Цветанка Иванова“</w:t>
      </w:r>
      <w:bookmarkEnd w:id="18"/>
      <w:r>
        <w:rPr>
          <w:rFonts w:ascii="Times New Roman" w:hAnsi="Times New Roman"/>
          <w:b/>
          <w:sz w:val="26"/>
          <w:szCs w:val="26"/>
        </w:rPr>
        <w:t xml:space="preserve">, София /ЕИК 831136369/ </w:t>
      </w:r>
      <w:r>
        <w:rPr>
          <w:rFonts w:ascii="Times New Roman" w:hAnsi="Times New Roman"/>
          <w:sz w:val="26"/>
          <w:szCs w:val="26"/>
        </w:rPr>
        <w:t>е собствено</w:t>
      </w:r>
      <w:r>
        <w:rPr>
          <w:rFonts w:ascii="Times New Roman" w:hAnsi="Times New Roman"/>
          <w:sz w:val="26"/>
          <w:szCs w:val="26"/>
        </w:rPr>
        <w:t>ст на Цветанка Иванова. Основната му дейност е търговия на дребно с книги, вестници и списания на територията на град София. Разпространява печатните издания в кварталите Младост, Дружба, Надежда, Красна поляна и Люлин, където зареждат и други конкуренти –</w:t>
      </w:r>
      <w:r>
        <w:rPr>
          <w:rFonts w:ascii="Times New Roman" w:hAnsi="Times New Roman"/>
          <w:sz w:val="26"/>
          <w:szCs w:val="26"/>
        </w:rPr>
        <w:t xml:space="preserve"> Агенция Стрела ЕООД, Прес ЕООД, Дибо 97 ООД,  Комекс, Сенатор ООД, Семир периодичен печат ЕООД и др.</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Търговецът притежава един склад, който обслужва около 30 обекта (има 10 собствени обекти - маси и павилиони в кварталите Люлин, Красна поляна, Надежда, ка</w:t>
      </w:r>
      <w:r>
        <w:rPr>
          <w:rFonts w:ascii="Times New Roman" w:hAnsi="Times New Roman"/>
          <w:sz w:val="26"/>
          <w:szCs w:val="26"/>
        </w:rPr>
        <w:t>кто и наети щандове в магазини Европа. През анализирания период броят обекти не е променян. Също така зарежда обектите на 10 фирми - кафенета, книжарници и сергии.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Разпространителят взима печатни издания както директно от издатели /ВГБ ООД, ЕГМОНТ България</w:t>
      </w:r>
      <w:r>
        <w:rPr>
          <w:rFonts w:ascii="Times New Roman" w:hAnsi="Times New Roman"/>
          <w:sz w:val="26"/>
          <w:szCs w:val="26"/>
        </w:rPr>
        <w:t xml:space="preserve"> ЕАД, Агенция ЕВА ООД, МС Тийм ООД, ЕТ“Трета Възраст“/, така и от дистрибутори – напр. Братя Герини-Прес ЕООД, който доставя заявените тиражи на рампата на ИПК „Родина“ АД. Едноличният търговец сам осъществява транспортирането им до крайните пунктове.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За </w:t>
      </w:r>
      <w:r>
        <w:rPr>
          <w:rFonts w:ascii="Times New Roman" w:hAnsi="Times New Roman"/>
          <w:sz w:val="26"/>
          <w:szCs w:val="26"/>
        </w:rPr>
        <w:t xml:space="preserve">периода търговецът няма промяна в предоставяните му от издатели/дистрибутори на едро ТО -  напр. Братя Герини Прес ЕООД предоставя търговска отстъпка в размер на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Дибо 97 ООД.–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Агенция Ева ООД -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ЕГМОНТ България ЕАД –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w:t>
      </w:r>
      <w:r>
        <w:rPr>
          <w:rFonts w:ascii="Times New Roman" w:hAnsi="Times New Roman"/>
          <w:sz w:val="26"/>
          <w:szCs w:val="26"/>
        </w:rPr>
        <w:t xml:space="preserve">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ЕТ „Тон</w:t>
      </w:r>
      <w:r>
        <w:rPr>
          <w:rFonts w:ascii="Times New Roman" w:hAnsi="Times New Roman"/>
          <w:sz w:val="26"/>
          <w:szCs w:val="26"/>
        </w:rPr>
        <w:t>и-ДВ Цветанка Иванова“</w:t>
      </w:r>
      <w:r>
        <w:rPr>
          <w:rFonts w:ascii="Times New Roman" w:hAnsi="Times New Roman"/>
          <w:b/>
          <w:sz w:val="26"/>
          <w:szCs w:val="26"/>
        </w:rPr>
        <w:t xml:space="preserve"> </w:t>
      </w:r>
      <w:r>
        <w:rPr>
          <w:rFonts w:ascii="Times New Roman" w:hAnsi="Times New Roman"/>
          <w:sz w:val="26"/>
          <w:szCs w:val="26"/>
        </w:rPr>
        <w:t xml:space="preserve">предоставя ТО на своите клиенти в границите между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в зависимост от това дали вестниците се доставят до крайните обекти или се взимат от ИПК Родина.  </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Таблица № 19  дава информация за доставения и реализиран тираж национални вес</w:t>
      </w:r>
      <w:r>
        <w:rPr>
          <w:rFonts w:ascii="Times New Roman" w:hAnsi="Times New Roman"/>
          <w:sz w:val="26"/>
          <w:szCs w:val="26"/>
        </w:rPr>
        <w:t xml:space="preserve">тници, в т.ч. поотделно за ежедневниците и седмичниците. </w:t>
      </w:r>
    </w:p>
    <w:p w:rsidR="00000000" w:rsidRDefault="003E498D">
      <w:pPr>
        <w:pStyle w:val="NoSpacing"/>
        <w:ind w:left="6372" w:firstLine="708"/>
        <w:contextualSpacing/>
        <w:jc w:val="right"/>
        <w:rPr>
          <w:rFonts w:ascii="Times New Roman" w:hAnsi="Times New Roman"/>
          <w:sz w:val="26"/>
          <w:szCs w:val="26"/>
        </w:rPr>
      </w:pPr>
      <w:r>
        <w:rPr>
          <w:rFonts w:ascii="Times New Roman" w:hAnsi="Times New Roman"/>
          <w:sz w:val="26"/>
          <w:szCs w:val="26"/>
        </w:rPr>
        <w:t>Таблица №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6"/>
        <w:gridCol w:w="1316"/>
        <w:gridCol w:w="1316"/>
        <w:gridCol w:w="1316"/>
        <w:gridCol w:w="1316"/>
        <w:gridCol w:w="1316"/>
        <w:gridCol w:w="1316"/>
      </w:tblGrid>
      <w:tr w:rsidR="00000000">
        <w:tc>
          <w:tcPr>
            <w:tcW w:w="1316" w:type="dxa"/>
            <w:vMerge w:val="restart"/>
            <w:vAlign w:val="center"/>
          </w:tcPr>
          <w:p w:rsidR="00000000" w:rsidRDefault="003E498D">
            <w:pPr>
              <w:pStyle w:val="NoSpacing"/>
              <w:contextualSpacing/>
              <w:jc w:val="center"/>
              <w:rPr>
                <w:rFonts w:ascii="Times New Roman" w:hAnsi="Times New Roman"/>
              </w:rPr>
            </w:pPr>
            <w:r>
              <w:rPr>
                <w:rFonts w:ascii="Times New Roman" w:hAnsi="Times New Roman"/>
              </w:rPr>
              <w:t>Година</w:t>
            </w:r>
          </w:p>
        </w:tc>
        <w:tc>
          <w:tcPr>
            <w:tcW w:w="7896" w:type="dxa"/>
            <w:gridSpan w:val="6"/>
          </w:tcPr>
          <w:p w:rsidR="00000000" w:rsidRDefault="003E498D">
            <w:pPr>
              <w:pStyle w:val="NoSpacing"/>
              <w:contextualSpacing/>
              <w:jc w:val="center"/>
              <w:rPr>
                <w:rFonts w:ascii="Times New Roman" w:hAnsi="Times New Roman"/>
              </w:rPr>
            </w:pPr>
            <w:r>
              <w:rPr>
                <w:rFonts w:ascii="Times New Roman" w:hAnsi="Times New Roman"/>
              </w:rPr>
              <w:t>Национални вестници - тираж /брой/</w:t>
            </w:r>
          </w:p>
        </w:tc>
      </w:tr>
      <w:tr w:rsidR="00000000">
        <w:tc>
          <w:tcPr>
            <w:tcW w:w="1316" w:type="dxa"/>
            <w:vMerge/>
          </w:tcPr>
          <w:p w:rsidR="00000000" w:rsidRDefault="003E498D">
            <w:pPr>
              <w:pStyle w:val="NoSpacing"/>
              <w:contextualSpacing/>
              <w:jc w:val="both"/>
              <w:rPr>
                <w:rFonts w:ascii="Times New Roman" w:hAnsi="Times New Roman"/>
              </w:rPr>
            </w:pPr>
          </w:p>
        </w:tc>
        <w:tc>
          <w:tcPr>
            <w:tcW w:w="2632" w:type="dxa"/>
            <w:gridSpan w:val="2"/>
          </w:tcPr>
          <w:p w:rsidR="00000000" w:rsidRDefault="003E498D">
            <w:pPr>
              <w:pStyle w:val="NoSpacing"/>
              <w:contextualSpacing/>
              <w:jc w:val="center"/>
              <w:rPr>
                <w:rFonts w:ascii="Times New Roman" w:hAnsi="Times New Roman"/>
              </w:rPr>
            </w:pPr>
            <w:r>
              <w:rPr>
                <w:rFonts w:ascii="Times New Roman" w:hAnsi="Times New Roman"/>
              </w:rPr>
              <w:t>Общо</w:t>
            </w:r>
          </w:p>
        </w:tc>
        <w:tc>
          <w:tcPr>
            <w:tcW w:w="2632" w:type="dxa"/>
            <w:gridSpan w:val="2"/>
          </w:tcPr>
          <w:p w:rsidR="00000000" w:rsidRDefault="003E498D">
            <w:pPr>
              <w:pStyle w:val="NoSpacing"/>
              <w:contextualSpacing/>
              <w:jc w:val="center"/>
              <w:rPr>
                <w:rFonts w:ascii="Times New Roman" w:hAnsi="Times New Roman"/>
              </w:rPr>
            </w:pPr>
            <w:r>
              <w:rPr>
                <w:rFonts w:ascii="Times New Roman" w:hAnsi="Times New Roman"/>
              </w:rPr>
              <w:t>Ежедневници</w:t>
            </w:r>
          </w:p>
        </w:tc>
        <w:tc>
          <w:tcPr>
            <w:tcW w:w="2632" w:type="dxa"/>
            <w:gridSpan w:val="2"/>
          </w:tcPr>
          <w:p w:rsidR="00000000" w:rsidRDefault="003E498D">
            <w:pPr>
              <w:pStyle w:val="NoSpacing"/>
              <w:contextualSpacing/>
              <w:jc w:val="center"/>
              <w:rPr>
                <w:rFonts w:ascii="Times New Roman" w:hAnsi="Times New Roman"/>
              </w:rPr>
            </w:pPr>
            <w:r>
              <w:rPr>
                <w:rFonts w:ascii="Times New Roman" w:hAnsi="Times New Roman"/>
              </w:rPr>
              <w:t>Седмичници</w:t>
            </w:r>
          </w:p>
        </w:tc>
      </w:tr>
      <w:tr w:rsidR="00000000">
        <w:tc>
          <w:tcPr>
            <w:tcW w:w="1316" w:type="dxa"/>
            <w:vMerge/>
          </w:tcPr>
          <w:p w:rsidR="00000000" w:rsidRDefault="003E498D">
            <w:pPr>
              <w:pStyle w:val="NoSpacing"/>
              <w:contextualSpacing/>
              <w:jc w:val="both"/>
              <w:rPr>
                <w:rFonts w:ascii="Times New Roman" w:hAnsi="Times New Roman"/>
              </w:rPr>
            </w:pPr>
          </w:p>
        </w:tc>
        <w:tc>
          <w:tcPr>
            <w:tcW w:w="1316" w:type="dxa"/>
          </w:tcPr>
          <w:p w:rsidR="00000000" w:rsidRDefault="003E498D">
            <w:pPr>
              <w:pStyle w:val="NoSpacing"/>
              <w:contextualSpacing/>
              <w:jc w:val="center"/>
              <w:rPr>
                <w:rFonts w:ascii="Times New Roman" w:hAnsi="Times New Roman"/>
              </w:rPr>
            </w:pPr>
            <w:r>
              <w:rPr>
                <w:rFonts w:ascii="Times New Roman" w:hAnsi="Times New Roman"/>
              </w:rPr>
              <w:t>Доставен</w:t>
            </w:r>
          </w:p>
        </w:tc>
        <w:tc>
          <w:tcPr>
            <w:tcW w:w="1316" w:type="dxa"/>
          </w:tcPr>
          <w:p w:rsidR="00000000" w:rsidRDefault="003E498D">
            <w:pPr>
              <w:pStyle w:val="NoSpacing"/>
              <w:contextualSpacing/>
              <w:jc w:val="center"/>
              <w:rPr>
                <w:rFonts w:ascii="Times New Roman" w:hAnsi="Times New Roman"/>
              </w:rPr>
            </w:pPr>
            <w:r>
              <w:rPr>
                <w:rFonts w:ascii="Times New Roman" w:hAnsi="Times New Roman"/>
              </w:rPr>
              <w:t>Реализиран</w:t>
            </w:r>
          </w:p>
        </w:tc>
        <w:tc>
          <w:tcPr>
            <w:tcW w:w="1316" w:type="dxa"/>
          </w:tcPr>
          <w:p w:rsidR="00000000" w:rsidRDefault="003E498D">
            <w:pPr>
              <w:pStyle w:val="NoSpacing"/>
              <w:contextualSpacing/>
              <w:jc w:val="center"/>
              <w:rPr>
                <w:rFonts w:ascii="Times New Roman" w:hAnsi="Times New Roman"/>
              </w:rPr>
            </w:pPr>
            <w:r>
              <w:rPr>
                <w:rFonts w:ascii="Times New Roman" w:hAnsi="Times New Roman"/>
              </w:rPr>
              <w:t>Доставен</w:t>
            </w:r>
          </w:p>
        </w:tc>
        <w:tc>
          <w:tcPr>
            <w:tcW w:w="1316" w:type="dxa"/>
          </w:tcPr>
          <w:p w:rsidR="00000000" w:rsidRDefault="003E498D">
            <w:pPr>
              <w:pStyle w:val="NoSpacing"/>
              <w:contextualSpacing/>
              <w:jc w:val="center"/>
              <w:rPr>
                <w:rFonts w:ascii="Times New Roman" w:hAnsi="Times New Roman"/>
              </w:rPr>
            </w:pPr>
            <w:r>
              <w:rPr>
                <w:rFonts w:ascii="Times New Roman" w:hAnsi="Times New Roman"/>
              </w:rPr>
              <w:t>Реализиран</w:t>
            </w:r>
          </w:p>
        </w:tc>
        <w:tc>
          <w:tcPr>
            <w:tcW w:w="1316" w:type="dxa"/>
          </w:tcPr>
          <w:p w:rsidR="00000000" w:rsidRDefault="003E498D">
            <w:pPr>
              <w:pStyle w:val="NoSpacing"/>
              <w:contextualSpacing/>
              <w:jc w:val="center"/>
              <w:rPr>
                <w:rFonts w:ascii="Times New Roman" w:hAnsi="Times New Roman"/>
              </w:rPr>
            </w:pPr>
            <w:r>
              <w:rPr>
                <w:rFonts w:ascii="Times New Roman" w:hAnsi="Times New Roman"/>
              </w:rPr>
              <w:t>Доставен</w:t>
            </w:r>
          </w:p>
        </w:tc>
        <w:tc>
          <w:tcPr>
            <w:tcW w:w="1316" w:type="dxa"/>
          </w:tcPr>
          <w:p w:rsidR="00000000" w:rsidRDefault="003E498D">
            <w:pPr>
              <w:pStyle w:val="NoSpacing"/>
              <w:contextualSpacing/>
              <w:jc w:val="center"/>
              <w:rPr>
                <w:rFonts w:ascii="Times New Roman" w:hAnsi="Times New Roman"/>
              </w:rPr>
            </w:pPr>
            <w:r>
              <w:rPr>
                <w:rFonts w:ascii="Times New Roman" w:hAnsi="Times New Roman"/>
              </w:rPr>
              <w:t>Реализиран</w:t>
            </w:r>
          </w:p>
        </w:tc>
      </w:tr>
      <w:tr w:rsidR="00000000">
        <w:tc>
          <w:tcPr>
            <w:tcW w:w="1316" w:type="dxa"/>
          </w:tcPr>
          <w:p w:rsidR="00000000" w:rsidRDefault="003E498D">
            <w:pPr>
              <w:pStyle w:val="NoSpacing"/>
              <w:contextualSpacing/>
              <w:jc w:val="both"/>
              <w:rPr>
                <w:rFonts w:ascii="Times New Roman" w:hAnsi="Times New Roman"/>
              </w:rPr>
            </w:pPr>
            <w:r>
              <w:rPr>
                <w:rFonts w:ascii="Times New Roman" w:hAnsi="Times New Roman"/>
              </w:rPr>
              <w:t>2009</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534 154</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470</w:t>
            </w:r>
            <w:r>
              <w:rPr>
                <w:rFonts w:ascii="Times New Roman" w:hAnsi="Times New Roman"/>
                <w:sz w:val="22"/>
                <w:szCs w:val="22"/>
                <w:lang w:val="en-US"/>
              </w:rPr>
              <w:t xml:space="preserve"> </w:t>
            </w:r>
            <w:r>
              <w:rPr>
                <w:rFonts w:ascii="Times New Roman" w:hAnsi="Times New Roman"/>
                <w:sz w:val="22"/>
                <w:szCs w:val="22"/>
              </w:rPr>
              <w:t>055</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458</w:t>
            </w:r>
            <w:r>
              <w:rPr>
                <w:rFonts w:ascii="Times New Roman" w:hAnsi="Times New Roman"/>
                <w:sz w:val="22"/>
                <w:szCs w:val="22"/>
                <w:lang w:val="en-US"/>
              </w:rPr>
              <w:t xml:space="preserve"> </w:t>
            </w:r>
            <w:r>
              <w:rPr>
                <w:rFonts w:ascii="Times New Roman" w:hAnsi="Times New Roman"/>
                <w:sz w:val="22"/>
                <w:szCs w:val="22"/>
              </w:rPr>
              <w:t>297</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403</w:t>
            </w:r>
            <w:r>
              <w:rPr>
                <w:rFonts w:ascii="Times New Roman" w:hAnsi="Times New Roman"/>
                <w:sz w:val="22"/>
                <w:szCs w:val="22"/>
                <w:lang w:val="en-US"/>
              </w:rPr>
              <w:t xml:space="preserve"> </w:t>
            </w:r>
            <w:r>
              <w:rPr>
                <w:rFonts w:ascii="Times New Roman" w:hAnsi="Times New Roman"/>
                <w:sz w:val="22"/>
                <w:szCs w:val="22"/>
              </w:rPr>
              <w:t>301</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75</w:t>
            </w:r>
            <w:r>
              <w:rPr>
                <w:rFonts w:ascii="Times New Roman" w:hAnsi="Times New Roman"/>
                <w:sz w:val="22"/>
                <w:szCs w:val="22"/>
                <w:lang w:val="en-US"/>
              </w:rPr>
              <w:t xml:space="preserve"> </w:t>
            </w:r>
            <w:r>
              <w:rPr>
                <w:rFonts w:ascii="Times New Roman" w:hAnsi="Times New Roman"/>
                <w:sz w:val="22"/>
                <w:szCs w:val="22"/>
              </w:rPr>
              <w:t>857</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66</w:t>
            </w:r>
            <w:r>
              <w:rPr>
                <w:rFonts w:ascii="Times New Roman" w:hAnsi="Times New Roman"/>
                <w:sz w:val="22"/>
                <w:szCs w:val="22"/>
                <w:lang w:val="en-US"/>
              </w:rPr>
              <w:t xml:space="preserve"> </w:t>
            </w:r>
            <w:r>
              <w:rPr>
                <w:rFonts w:ascii="Times New Roman" w:hAnsi="Times New Roman"/>
                <w:sz w:val="22"/>
                <w:szCs w:val="22"/>
              </w:rPr>
              <w:t>754</w:t>
            </w:r>
          </w:p>
        </w:tc>
      </w:tr>
      <w:tr w:rsidR="00000000">
        <w:tc>
          <w:tcPr>
            <w:tcW w:w="1316" w:type="dxa"/>
          </w:tcPr>
          <w:p w:rsidR="00000000" w:rsidRDefault="003E498D">
            <w:pPr>
              <w:pStyle w:val="NoSpacing"/>
              <w:contextualSpacing/>
              <w:jc w:val="both"/>
              <w:rPr>
                <w:rFonts w:ascii="Times New Roman" w:hAnsi="Times New Roman"/>
              </w:rPr>
            </w:pPr>
            <w:r>
              <w:rPr>
                <w:rFonts w:ascii="Times New Roman" w:hAnsi="Times New Roman"/>
              </w:rPr>
              <w:t>2010</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446 078</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383</w:t>
            </w:r>
            <w:r>
              <w:rPr>
                <w:rFonts w:ascii="Times New Roman" w:hAnsi="Times New Roman"/>
                <w:sz w:val="22"/>
                <w:szCs w:val="22"/>
                <w:lang w:val="en-US"/>
              </w:rPr>
              <w:t xml:space="preserve"> </w:t>
            </w:r>
            <w:r>
              <w:rPr>
                <w:rFonts w:ascii="Times New Roman" w:hAnsi="Times New Roman"/>
                <w:sz w:val="22"/>
                <w:szCs w:val="22"/>
              </w:rPr>
              <w:t>627</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365</w:t>
            </w:r>
            <w:r>
              <w:rPr>
                <w:rFonts w:ascii="Times New Roman" w:hAnsi="Times New Roman"/>
                <w:sz w:val="22"/>
                <w:szCs w:val="22"/>
                <w:lang w:val="en-US"/>
              </w:rPr>
              <w:t xml:space="preserve"> </w:t>
            </w:r>
            <w:r>
              <w:rPr>
                <w:rFonts w:ascii="Times New Roman" w:hAnsi="Times New Roman"/>
                <w:sz w:val="22"/>
                <w:szCs w:val="22"/>
              </w:rPr>
              <w:t>892</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314</w:t>
            </w:r>
            <w:r>
              <w:rPr>
                <w:rFonts w:ascii="Times New Roman" w:hAnsi="Times New Roman"/>
                <w:sz w:val="22"/>
                <w:szCs w:val="22"/>
                <w:lang w:val="en-US"/>
              </w:rPr>
              <w:t xml:space="preserve"> </w:t>
            </w:r>
            <w:r>
              <w:rPr>
                <w:rFonts w:ascii="Times New Roman" w:hAnsi="Times New Roman"/>
                <w:sz w:val="22"/>
                <w:szCs w:val="22"/>
              </w:rPr>
              <w:t>667</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80</w:t>
            </w:r>
            <w:r>
              <w:rPr>
                <w:rFonts w:ascii="Times New Roman" w:hAnsi="Times New Roman"/>
                <w:sz w:val="22"/>
                <w:szCs w:val="22"/>
                <w:lang w:val="en-US"/>
              </w:rPr>
              <w:t xml:space="preserve"> </w:t>
            </w:r>
            <w:r>
              <w:rPr>
                <w:rFonts w:ascii="Times New Roman" w:hAnsi="Times New Roman"/>
                <w:sz w:val="22"/>
                <w:szCs w:val="22"/>
              </w:rPr>
              <w:t>186</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68</w:t>
            </w:r>
            <w:r>
              <w:rPr>
                <w:rFonts w:ascii="Times New Roman" w:hAnsi="Times New Roman"/>
                <w:sz w:val="22"/>
                <w:szCs w:val="22"/>
                <w:lang w:val="en-US"/>
              </w:rPr>
              <w:t xml:space="preserve"> </w:t>
            </w:r>
            <w:r>
              <w:rPr>
                <w:rFonts w:ascii="Times New Roman" w:hAnsi="Times New Roman"/>
                <w:sz w:val="22"/>
                <w:szCs w:val="22"/>
              </w:rPr>
              <w:t>960</w:t>
            </w:r>
          </w:p>
        </w:tc>
      </w:tr>
      <w:tr w:rsidR="00000000">
        <w:tc>
          <w:tcPr>
            <w:tcW w:w="1316" w:type="dxa"/>
          </w:tcPr>
          <w:p w:rsidR="00000000" w:rsidRDefault="003E498D">
            <w:pPr>
              <w:pStyle w:val="NoSpacing"/>
              <w:contextualSpacing/>
              <w:jc w:val="both"/>
              <w:rPr>
                <w:rFonts w:ascii="Times New Roman" w:hAnsi="Times New Roman"/>
              </w:rPr>
            </w:pPr>
            <w:r>
              <w:rPr>
                <w:rFonts w:ascii="Times New Roman" w:hAnsi="Times New Roman"/>
              </w:rPr>
              <w:t>2011</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403 986</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343</w:t>
            </w:r>
            <w:r>
              <w:rPr>
                <w:rFonts w:ascii="Times New Roman" w:hAnsi="Times New Roman"/>
                <w:sz w:val="22"/>
                <w:szCs w:val="22"/>
                <w:lang w:val="en-US"/>
              </w:rPr>
              <w:t xml:space="preserve"> </w:t>
            </w:r>
            <w:r>
              <w:rPr>
                <w:rFonts w:ascii="Times New Roman" w:hAnsi="Times New Roman"/>
                <w:sz w:val="22"/>
                <w:szCs w:val="22"/>
              </w:rPr>
              <w:t>388</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353</w:t>
            </w:r>
            <w:r>
              <w:rPr>
                <w:rFonts w:ascii="Times New Roman" w:hAnsi="Times New Roman"/>
                <w:sz w:val="22"/>
                <w:szCs w:val="22"/>
                <w:lang w:val="en-US"/>
              </w:rPr>
              <w:t xml:space="preserve"> </w:t>
            </w:r>
            <w:r>
              <w:rPr>
                <w:rFonts w:ascii="Times New Roman" w:hAnsi="Times New Roman"/>
                <w:sz w:val="22"/>
                <w:szCs w:val="22"/>
              </w:rPr>
              <w:t>820</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300</w:t>
            </w:r>
            <w:r>
              <w:rPr>
                <w:rFonts w:ascii="Times New Roman" w:hAnsi="Times New Roman"/>
                <w:sz w:val="22"/>
                <w:szCs w:val="22"/>
                <w:lang w:val="en-US"/>
              </w:rPr>
              <w:t xml:space="preserve"> </w:t>
            </w:r>
            <w:r>
              <w:rPr>
                <w:rFonts w:ascii="Times New Roman" w:hAnsi="Times New Roman"/>
                <w:sz w:val="22"/>
                <w:szCs w:val="22"/>
              </w:rPr>
              <w:t>747</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50</w:t>
            </w:r>
            <w:r>
              <w:rPr>
                <w:rFonts w:ascii="Times New Roman" w:hAnsi="Times New Roman"/>
                <w:sz w:val="22"/>
                <w:szCs w:val="22"/>
                <w:lang w:val="en-US"/>
              </w:rPr>
              <w:t xml:space="preserve"> </w:t>
            </w:r>
            <w:r>
              <w:rPr>
                <w:rFonts w:ascii="Times New Roman" w:hAnsi="Times New Roman"/>
                <w:sz w:val="22"/>
                <w:szCs w:val="22"/>
              </w:rPr>
              <w:t>166</w:t>
            </w:r>
          </w:p>
        </w:tc>
        <w:tc>
          <w:tcPr>
            <w:tcW w:w="1316" w:type="dxa"/>
          </w:tcPr>
          <w:p w:rsidR="00000000" w:rsidRDefault="003E498D">
            <w:pPr>
              <w:contextualSpacing/>
              <w:jc w:val="center"/>
              <w:rPr>
                <w:rFonts w:ascii="Times New Roman" w:hAnsi="Times New Roman"/>
                <w:sz w:val="22"/>
                <w:szCs w:val="22"/>
              </w:rPr>
            </w:pPr>
            <w:r>
              <w:rPr>
                <w:rFonts w:ascii="Times New Roman" w:hAnsi="Times New Roman"/>
                <w:sz w:val="22"/>
                <w:szCs w:val="22"/>
              </w:rPr>
              <w:t>42</w:t>
            </w:r>
            <w:r>
              <w:rPr>
                <w:rFonts w:ascii="Times New Roman" w:hAnsi="Times New Roman"/>
                <w:sz w:val="22"/>
                <w:szCs w:val="22"/>
                <w:lang w:val="en-US"/>
              </w:rPr>
              <w:t xml:space="preserve"> </w:t>
            </w:r>
            <w:r>
              <w:rPr>
                <w:rFonts w:ascii="Times New Roman" w:hAnsi="Times New Roman"/>
                <w:sz w:val="22"/>
                <w:szCs w:val="22"/>
              </w:rPr>
              <w:t>641</w:t>
            </w:r>
          </w:p>
        </w:tc>
      </w:tr>
    </w:tbl>
    <w:p w:rsidR="00000000" w:rsidRDefault="003E498D">
      <w:pPr>
        <w:pStyle w:val="NoSpacing"/>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Данните показват, че за анализирания период е налице намаляване броя на реализирания тираж както общо, така и по отношение на ежедневниците. При нац</w:t>
      </w:r>
      <w:r>
        <w:rPr>
          <w:rFonts w:ascii="Times New Roman" w:hAnsi="Times New Roman"/>
          <w:sz w:val="26"/>
          <w:szCs w:val="26"/>
        </w:rPr>
        <w:t>ионалните седмичници има увеличаване през 2010 г. спрямо 2009 г., но реализацията през 2011 г. намалява значително спрямо предходните две години.</w:t>
      </w:r>
    </w:p>
    <w:p w:rsidR="00000000" w:rsidRDefault="003E498D">
      <w:pPr>
        <w:pStyle w:val="NoSpacing"/>
        <w:ind w:firstLine="708"/>
        <w:contextualSpacing/>
        <w:jc w:val="both"/>
        <w:rPr>
          <w:rFonts w:ascii="Times New Roman" w:hAnsi="Times New Roman"/>
          <w:sz w:val="26"/>
          <w:szCs w:val="26"/>
        </w:rPr>
      </w:pPr>
      <w:bookmarkStart w:id="19" w:name="_Toc340653774"/>
      <w:r>
        <w:rPr>
          <w:rFonts w:ascii="Times New Roman" w:hAnsi="Times New Roman"/>
          <w:sz w:val="26"/>
          <w:szCs w:val="26"/>
        </w:rPr>
        <w:t>Съдружници в</w:t>
      </w:r>
      <w:r>
        <w:rPr>
          <w:rFonts w:ascii="Times New Roman" w:hAnsi="Times New Roman"/>
          <w:b/>
          <w:sz w:val="26"/>
          <w:szCs w:val="26"/>
        </w:rPr>
        <w:t xml:space="preserve"> „АКС Трейдинг” ООД</w:t>
      </w:r>
      <w:bookmarkEnd w:id="19"/>
      <w:r>
        <w:rPr>
          <w:rFonts w:ascii="Times New Roman" w:hAnsi="Times New Roman"/>
          <w:b/>
          <w:sz w:val="26"/>
          <w:szCs w:val="26"/>
        </w:rPr>
        <w:t>, София /ЕИК 121007579/</w:t>
      </w:r>
      <w:r>
        <w:rPr>
          <w:rFonts w:ascii="Times New Roman" w:hAnsi="Times New Roman"/>
          <w:sz w:val="26"/>
          <w:szCs w:val="26"/>
        </w:rPr>
        <w:t xml:space="preserve"> са 4 физически лица - Кирил Иванов, Пламен Гаджев, Вене</w:t>
      </w:r>
      <w:r>
        <w:rPr>
          <w:rFonts w:ascii="Times New Roman" w:hAnsi="Times New Roman"/>
          <w:sz w:val="26"/>
          <w:szCs w:val="26"/>
        </w:rPr>
        <w:t>лин  Александров и Любомир  Георгиев.</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Дружеството притежава собствени крайни пунктове за продажба на вестници и списания (павилиони) само на територията на гр. София (общо 23 обекта).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Предприятието купува периодичните издания основно от „Агенция Стрела” ЕО</w:t>
      </w:r>
      <w:r>
        <w:rPr>
          <w:rFonts w:ascii="Times New Roman" w:hAnsi="Times New Roman"/>
          <w:sz w:val="26"/>
          <w:szCs w:val="26"/>
        </w:rPr>
        <w:t xml:space="preserve">ОД и „Сенатор” ООД (които формират 70 % от стокооборота му), а </w:t>
      </w:r>
      <w:r>
        <w:rPr>
          <w:rFonts w:ascii="Times New Roman" w:hAnsi="Times New Roman"/>
          <w:sz w:val="26"/>
          <w:szCs w:val="26"/>
        </w:rPr>
        <w:lastRenderedPageBreak/>
        <w:t xml:space="preserve">останалата част - от поддистрибутори. Незначителна част от изданията, главно списания, купува директно от издателя.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Условията за доставка са различни в зависимост от издателствата, като една ч</w:t>
      </w:r>
      <w:r>
        <w:rPr>
          <w:rFonts w:ascii="Times New Roman" w:hAnsi="Times New Roman"/>
          <w:sz w:val="26"/>
          <w:szCs w:val="26"/>
        </w:rPr>
        <w:t>аст от изданията се взимат директно от печатниците (чрез „Агенция Стрела” ЕООД, „Пресмаркет” ЕООД и др.), а друга - от депа на дистрибутор (напр. Сенатор ООД; Атика Медиа България ООД,  Либерис Медиа Груп България АД). Транспортът се извършва със собствени</w:t>
      </w:r>
      <w:r>
        <w:rPr>
          <w:rFonts w:ascii="Times New Roman" w:hAnsi="Times New Roman"/>
          <w:sz w:val="26"/>
          <w:szCs w:val="26"/>
        </w:rPr>
        <w:t xml:space="preserve"> на АКС Трейдинг ООД автомобили.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Договорите, които сключва дружеството с издателите, са едногодишни и при общи условия. Прекратен е единствено договор със „Санома Блясък България“ АД, поради нерентабилност по отношение на доставка и брак / отдалеченост на </w:t>
      </w:r>
      <w:r>
        <w:rPr>
          <w:rFonts w:ascii="Times New Roman" w:hAnsi="Times New Roman"/>
          <w:sz w:val="26"/>
          <w:szCs w:val="26"/>
        </w:rPr>
        <w:t>склад/депо на дистрибутора/.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Съгласно предоставената информация, търговските отстъпки не са променяни и са предмет на директно договаряне с издателя  в зависимост от доставения тираж и според конкретното издание.</w:t>
      </w:r>
    </w:p>
    <w:p w:rsidR="00000000" w:rsidRDefault="003E498D">
      <w:pPr>
        <w:pStyle w:val="NoSpacing"/>
        <w:ind w:firstLine="708"/>
        <w:contextualSpacing/>
        <w:jc w:val="both"/>
        <w:rPr>
          <w:rFonts w:ascii="Times New Roman" w:hAnsi="Times New Roman"/>
          <w:i/>
          <w:sz w:val="26"/>
          <w:szCs w:val="26"/>
        </w:rPr>
      </w:pPr>
    </w:p>
    <w:p w:rsidR="00000000" w:rsidRDefault="003E498D">
      <w:pPr>
        <w:pStyle w:val="Heading2"/>
        <w:spacing w:before="0"/>
        <w:contextualSpacing/>
        <w:rPr>
          <w:rFonts w:ascii="Times New Roman" w:hAnsi="Times New Roman"/>
        </w:rPr>
      </w:pPr>
      <w:r>
        <w:rPr>
          <w:rFonts w:ascii="Times New Roman" w:hAnsi="Times New Roman"/>
          <w:color w:val="auto"/>
        </w:rPr>
        <w:t>4.3. Пазарно положение на участниците</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Опре</w:t>
      </w:r>
      <w:r>
        <w:rPr>
          <w:rFonts w:ascii="Times New Roman" w:hAnsi="Times New Roman"/>
          <w:sz w:val="26"/>
          <w:szCs w:val="26"/>
        </w:rPr>
        <w:t>делянето на пазарното положение на предприятия, опериращи на съответен продуктово-географски пазар, е свързано с анализирането на множество фактори и разглеждането им в тяхната съвкупност. Изчисляването на пазарен дял въз основа на количествен или стойност</w:t>
      </w:r>
      <w:r>
        <w:rPr>
          <w:rFonts w:ascii="Times New Roman" w:hAnsi="Times New Roman"/>
          <w:sz w:val="26"/>
          <w:szCs w:val="26"/>
        </w:rPr>
        <w:t xml:space="preserve">ен измерител е първият, но недостатъчен индикатор за пазарните позиции на участниците на обособен пазар. Следва да бъдат анализирани и други показатели, като например какви финансови ресурси и оборот има всеки един от участниците, реализира ли икономии от </w:t>
      </w:r>
      <w:r>
        <w:rPr>
          <w:rFonts w:ascii="Times New Roman" w:hAnsi="Times New Roman"/>
          <w:sz w:val="26"/>
          <w:szCs w:val="26"/>
        </w:rPr>
        <w:t>обхвата или мащаба, които биха съответно му осигурили оптимизиране на разходите и конкурентни  предимства пред останалите на пазара, разполага ли с добре развита дистрибуторска мрежа, ползва ли определени преференциални условия при договаряне с доставчици,</w:t>
      </w:r>
      <w:r>
        <w:rPr>
          <w:rFonts w:ascii="Times New Roman" w:hAnsi="Times New Roman"/>
          <w:sz w:val="26"/>
          <w:szCs w:val="26"/>
        </w:rPr>
        <w:t xml:space="preserve"> клиенти, явява ли се част от вертикално интегрирана икономическа група, както и дали има дялово участие в други предприятия, опериращи на същия продуктов и/или географски пазар и др.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За да се приеме, че дадено предприятие притежава значителни пазарни по</w:t>
      </w:r>
      <w:r>
        <w:rPr>
          <w:rFonts w:ascii="Times New Roman" w:hAnsi="Times New Roman"/>
          <w:sz w:val="26"/>
          <w:szCs w:val="26"/>
        </w:rPr>
        <w:t>зиции, позволяващи му да бъде независимо в своето поведение от доставчици, клиенти и конкуренти, следва да бъде установено и дали тази независимост е трайна във времето. В тази връзка е необходимо да бъдат анализирани и бариерите за навлизане на съответния</w:t>
      </w:r>
      <w:r>
        <w:rPr>
          <w:rFonts w:ascii="Times New Roman" w:hAnsi="Times New Roman"/>
          <w:sz w:val="26"/>
          <w:szCs w:val="26"/>
        </w:rPr>
        <w:t xml:space="preserve"> пазар, доколко същите са преодолими и могат ли новонавлизащите участници да окажат конкурентен натиск и съответно дисциплиниращ ефект върху поведението на вече настанилите се основни играчи на пазара. Следва също така да се проследят и промените, в рамкит</w:t>
      </w:r>
      <w:r>
        <w:rPr>
          <w:rFonts w:ascii="Times New Roman" w:hAnsi="Times New Roman"/>
          <w:sz w:val="26"/>
          <w:szCs w:val="26"/>
        </w:rPr>
        <w:t>е на проучвания тригодишен период, настъпили в структурата на пазара по отношение навлезли/напуснали участници, както и обединяване на ресурси чрез осъществяване на концентрации на стопанска дейност между предприятия или други форми на сътрудничество.</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В об</w:t>
      </w:r>
      <w:r>
        <w:rPr>
          <w:rFonts w:ascii="Times New Roman" w:hAnsi="Times New Roman"/>
          <w:sz w:val="26"/>
          <w:szCs w:val="26"/>
        </w:rPr>
        <w:t xml:space="preserve">общение на получените отговори, като показатели за значимо пазарно положение на разпространителите се посочват: реализиран тираж; транспортни маршрути, по които оперират; брой депа/складове, с които разполагат; наличен </w:t>
      </w:r>
      <w:r>
        <w:rPr>
          <w:rFonts w:ascii="Times New Roman" w:hAnsi="Times New Roman"/>
          <w:sz w:val="26"/>
          <w:szCs w:val="26"/>
        </w:rPr>
        <w:lastRenderedPageBreak/>
        <w:t xml:space="preserve">автомобилен парк; изградена мрежа от </w:t>
      </w:r>
      <w:r>
        <w:rPr>
          <w:rFonts w:ascii="Times New Roman" w:hAnsi="Times New Roman"/>
          <w:sz w:val="26"/>
          <w:szCs w:val="26"/>
        </w:rPr>
        <w:t>крайни пунктове за продажба на печатни издания; нает персонал и др. „Агенция Стрела“ ЕООД в своя отговор до Комисията уточнява, че под „депо“ в повечето случаи се разбира стая-офис с телефон. Като критерий за изчисляване на пазарен дял на разпространителит</w:t>
      </w:r>
      <w:r>
        <w:rPr>
          <w:rFonts w:ascii="Times New Roman" w:hAnsi="Times New Roman"/>
          <w:sz w:val="26"/>
          <w:szCs w:val="26"/>
        </w:rPr>
        <w:t xml:space="preserve">е на едро и на дребно може да бъде използван брой на получения тираж и/или реализиран тираж вестници и списания.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При извършването на настоящия секторен анализ се установи, че при така съществуващия в страната механизъм на разпространение на печатни издани</w:t>
      </w:r>
      <w:r>
        <w:rPr>
          <w:rFonts w:ascii="Times New Roman" w:hAnsi="Times New Roman"/>
          <w:sz w:val="26"/>
          <w:szCs w:val="26"/>
        </w:rPr>
        <w:t>я (вестници и списания) е трудно да се направи ясно разграничаване между  търговеца на едро и този на дребно. От една страна т.нар. търговци на едро се намират на различни нива от  разпространението на едро. В становищата си до КЗК някои от анкетираните уч</w:t>
      </w:r>
      <w:r>
        <w:rPr>
          <w:rFonts w:ascii="Times New Roman" w:hAnsi="Times New Roman"/>
          <w:sz w:val="26"/>
          <w:szCs w:val="26"/>
        </w:rPr>
        <w:t>астници обособяват  разпространители на едро от т.нар. „първо ниво“ или използват понятието „основни дистрибутори“. Например „Национална дистрибуция“ ООД е дружество, което закупува издания само от издатели и ги доставя на рампата на съответното издание на</w:t>
      </w:r>
      <w:r>
        <w:rPr>
          <w:rFonts w:ascii="Times New Roman" w:hAnsi="Times New Roman"/>
          <w:sz w:val="26"/>
          <w:szCs w:val="26"/>
        </w:rPr>
        <w:t xml:space="preserve"> други дистрибутори на едро, „Агенция Стрела“ ЕООД пък е изключителен дистрибутор на изданията на МГБХ, а „НАР“ ЕАД предвид финансовите му показатели също би могъл да бъде отнесен към тази група разпространители. В същото време разпространителят на едро/др</w:t>
      </w:r>
      <w:r>
        <w:rPr>
          <w:rFonts w:ascii="Times New Roman" w:hAnsi="Times New Roman"/>
          <w:sz w:val="26"/>
          <w:szCs w:val="26"/>
        </w:rPr>
        <w:t>ебно може да закупи печатни издания както директно от издателя, така и от друг дистрибутор. Последващата продажба може да бъде както на други дистрибутори, техни конкуренти, така и на търговци на дребно, опериращи крайните места за реализация на продукта (</w:t>
      </w:r>
      <w:r>
        <w:rPr>
          <w:rFonts w:ascii="Times New Roman" w:hAnsi="Times New Roman"/>
          <w:sz w:val="26"/>
          <w:szCs w:val="26"/>
        </w:rPr>
        <w:t>павилиони, маси, сергии и др.). Всеки един от анкетираните разпространители на едро осъществява и продажба чрез собствени/наети крайни пунктове на крайни клиенти (читатели).</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Липсата на пълна, надеждна и съпоставима информация прави невъзможно определянето </w:t>
      </w:r>
      <w:r>
        <w:rPr>
          <w:rFonts w:ascii="Times New Roman" w:hAnsi="Times New Roman"/>
          <w:sz w:val="26"/>
          <w:szCs w:val="26"/>
        </w:rPr>
        <w:t xml:space="preserve">на пазарния дял на всеки един от анкетираните разпространители (например, изчислен на база получен тираж и/или реализиран тираж), опериращ на съответните нива от описания в раздел ІV, т. 4.1 модел на закупуване и разпространение на печатните издания.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От е</w:t>
      </w:r>
      <w:r>
        <w:rPr>
          <w:rFonts w:ascii="Times New Roman" w:hAnsi="Times New Roman"/>
          <w:sz w:val="26"/>
          <w:szCs w:val="26"/>
        </w:rPr>
        <w:t>дна страна за анализирания период голяма част от запитаните предприятия–разпространители представиха частичен отговор на изискана от КЗК информация (напр. липсват данни за доставения тираж, в т.ч. национални ежедневници, седмичници, списания и регионални в</w:t>
      </w:r>
      <w:r>
        <w:rPr>
          <w:rFonts w:ascii="Times New Roman" w:hAnsi="Times New Roman"/>
          <w:sz w:val="26"/>
          <w:szCs w:val="26"/>
        </w:rPr>
        <w:t xml:space="preserve">естници), а от друга се установи, че няма и браншова организация или асоциация (държавна/частна), която да наблюдава този сектор  на ниво разпространение както на едро, така и на дребно. На ниво продажби на дребно, които имат по-тесен географски обхват (в </w:t>
      </w:r>
      <w:r>
        <w:rPr>
          <w:rFonts w:ascii="Times New Roman" w:hAnsi="Times New Roman"/>
          <w:sz w:val="26"/>
          <w:szCs w:val="26"/>
        </w:rPr>
        <w:t xml:space="preserve">рамките на населено място/град) също няма надеждни статистически данни.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Въз основа на постъпилите отговори Комисията установи, че и самите участници нямат точна оценка за разпределението на пазарните дялове, дори и по отношение на собствената им пазарна п</w:t>
      </w:r>
      <w:r>
        <w:rPr>
          <w:rFonts w:ascii="Times New Roman" w:hAnsi="Times New Roman"/>
          <w:sz w:val="26"/>
          <w:szCs w:val="26"/>
        </w:rPr>
        <w:t>озиция. Само някои от тях дадоха  приблизителна оценка за своето място на пазара,  на база извършени собствени анализи, без да посочват за какъв период и на каква база са определени и какви източници са ползвали.</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В тази връзка „НАР“ ЕАД, без да претендира </w:t>
      </w:r>
      <w:r>
        <w:rPr>
          <w:rFonts w:ascii="Times New Roman" w:hAnsi="Times New Roman"/>
          <w:sz w:val="26"/>
          <w:szCs w:val="26"/>
        </w:rPr>
        <w:t xml:space="preserve">за достатъчна точност, оценява своя пазарен дял приблизително в границите 14 % -15 %, а на своите </w:t>
      </w:r>
      <w:r>
        <w:rPr>
          <w:rFonts w:ascii="Times New Roman" w:hAnsi="Times New Roman"/>
          <w:sz w:val="26"/>
          <w:szCs w:val="26"/>
        </w:rPr>
        <w:lastRenderedPageBreak/>
        <w:t>основни конкуренти съответно „Агенция Стрела“ ЕООД 12 % -13 %, Групата Герини – 15 %, „Прес“ ЕООД 10 % -11 %, „Сенатор“ ООД и „Оларт“ ЕООД – общо около 15 % -</w:t>
      </w:r>
      <w:r>
        <w:rPr>
          <w:rFonts w:ascii="Times New Roman" w:hAnsi="Times New Roman"/>
          <w:sz w:val="26"/>
          <w:szCs w:val="26"/>
        </w:rPr>
        <w:t>16 %. Дружеството уточнява, че останалите проценти от пазара на разпространението на едро се разпределят между други по-малки дистрибутори, включително и тези, осъществяващи дейността си в гр. София. Предвид факта, че от началото на 2011 г. „НАР“ ЕАД, „Пре</w:t>
      </w:r>
      <w:r>
        <w:rPr>
          <w:rFonts w:ascii="Times New Roman" w:hAnsi="Times New Roman"/>
          <w:sz w:val="26"/>
          <w:szCs w:val="26"/>
        </w:rPr>
        <w:t>с“ ЕООД и „Прес 2000“ ЕООД имат един мажоритарен собственик - „Карне- М“ ЕООД, пазарният дял на тези дружества следва да бъде разглеждан заедно, т.е. той е общо между 24 % -26 %,</w:t>
      </w:r>
      <w:r>
        <w:rPr>
          <w:rFonts w:ascii="Times New Roman" w:hAnsi="Times New Roman"/>
          <w:color w:val="4F81BD"/>
          <w:sz w:val="26"/>
          <w:szCs w:val="26"/>
        </w:rPr>
        <w:t xml:space="preserve"> </w:t>
      </w:r>
      <w:r>
        <w:rPr>
          <w:rFonts w:ascii="Times New Roman" w:hAnsi="Times New Roman"/>
          <w:sz w:val="26"/>
          <w:szCs w:val="26"/>
        </w:rPr>
        <w:t>с оглед предоставените данни. За анализирания период „Сенатор“ ООД пък оценяв</w:t>
      </w:r>
      <w:r>
        <w:rPr>
          <w:rFonts w:ascii="Times New Roman" w:hAnsi="Times New Roman"/>
          <w:sz w:val="26"/>
          <w:szCs w:val="26"/>
        </w:rPr>
        <w:t xml:space="preserve">а своя пазарен дял на база закупувани вестници и списания между 4 % -5 %, а „Медика Прес“ ЕООД около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color w:val="FF0000"/>
          <w:sz w:val="26"/>
          <w:szCs w:val="26"/>
        </w:rPr>
        <w:t xml:space="preserve"> </w:t>
      </w:r>
      <w:r>
        <w:rPr>
          <w:rFonts w:ascii="Times New Roman" w:hAnsi="Times New Roman"/>
          <w:sz w:val="26"/>
          <w:szCs w:val="26"/>
        </w:rPr>
        <w:t xml:space="preserve">(изчислен на база реализиран тираж) .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Пазарният дял на разпространителите на едро е в пряка зависимост от транспортните маршрути, по които разпрост</w:t>
      </w:r>
      <w:r>
        <w:rPr>
          <w:rFonts w:ascii="Times New Roman" w:hAnsi="Times New Roman"/>
          <w:sz w:val="26"/>
          <w:szCs w:val="26"/>
        </w:rPr>
        <w:t xml:space="preserve">раняват печатните издания, а тези на дребно - от броя на собствените/наети крайни пунктове за продажба. Съответно в колкото повече градове на страната те имат присъствие, толкова по-голям пазарен дял формират.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Съгласно получените становища, анкетираните у</w:t>
      </w:r>
      <w:r>
        <w:rPr>
          <w:rFonts w:ascii="Times New Roman" w:hAnsi="Times New Roman"/>
          <w:sz w:val="26"/>
          <w:szCs w:val="26"/>
        </w:rPr>
        <w:t xml:space="preserve">частници също не разполагат с данни относно броя на крайните пунктове или  общия обем реализирани продажби по населени места, където осъществяват дейност. Допълнително, предвид описаните по-долу бариери за навлизане, броят на павилионите и масите за ръчна </w:t>
      </w:r>
      <w:r>
        <w:rPr>
          <w:rFonts w:ascii="Times New Roman" w:hAnsi="Times New Roman"/>
          <w:sz w:val="26"/>
          <w:szCs w:val="26"/>
        </w:rPr>
        <w:t xml:space="preserve">продажба се променят, поради провежданите всяка година общински конкурси или търгове.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Също така, съгласно становището на „Нова Българска Медийна Група Холдинг“ ЕАД, в сектора няма достатъчна отчетност на разпространението на печатни издания, както фактиче</w:t>
      </w:r>
      <w:r>
        <w:rPr>
          <w:rFonts w:ascii="Times New Roman" w:hAnsi="Times New Roman"/>
          <w:sz w:val="26"/>
          <w:szCs w:val="26"/>
        </w:rPr>
        <w:t>ска, така и счетоводна, като липсва и точна информация от страна на разпространителите за обема на продажбите и разпределението на тиражите на вестниците по отделни обекти. Според становището на „Агенция Стрела“ ЕООД, в страната функционират около 11 000 о</w:t>
      </w:r>
      <w:r>
        <w:rPr>
          <w:rFonts w:ascii="Times New Roman" w:hAnsi="Times New Roman"/>
          <w:sz w:val="26"/>
          <w:szCs w:val="26"/>
        </w:rPr>
        <w:t>бекта за продажба на вестници и списания.</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След анализ на представената информация се установи следното:</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Съгласно публикуваните ГФО, „Агенция Стрела“ ЕООД поддържа 21 депа през 2009г., 20 през 2010г. и 16 през 2011г. в най-големите градове на страната. Друж</w:t>
      </w:r>
      <w:r>
        <w:rPr>
          <w:rFonts w:ascii="Times New Roman" w:hAnsi="Times New Roman"/>
          <w:sz w:val="26"/>
          <w:szCs w:val="26"/>
        </w:rPr>
        <w:t>еството е обслужвало съответно 1 320 пункта за продажба на издания на свои клиенти през 2009г., 1 400 бр., през 2010г., а през 2011г. техният брой намалява до 1000. Собствените/наети пунктове за продажба са 146 броя през 2009 г., но за 2010г. и 2011г. липс</w:t>
      </w:r>
      <w:r>
        <w:rPr>
          <w:rFonts w:ascii="Times New Roman" w:hAnsi="Times New Roman"/>
          <w:sz w:val="26"/>
          <w:szCs w:val="26"/>
        </w:rPr>
        <w:t xml:space="preserve">ват данни в ГФО на дружеството.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В таблицата по-долу са систематизирани данните, представени в КЗК на 26.10.12 г. за притежаваните от дружеството депа на територията на страната, брой  собствени/ наети обекти за крайна продажба на печатни издания и броя на</w:t>
      </w:r>
      <w:r>
        <w:rPr>
          <w:rFonts w:ascii="Times New Roman" w:hAnsi="Times New Roman"/>
          <w:sz w:val="26"/>
          <w:szCs w:val="26"/>
        </w:rPr>
        <w:t xml:space="preserve"> търговците на дребно („Клиенти”), зареждани от „Агенция Стрела“ ЕООД в отделните градове.  </w:t>
      </w:r>
    </w:p>
    <w:tbl>
      <w:tblPr>
        <w:tblW w:w="0" w:type="auto"/>
        <w:jc w:val="center"/>
        <w:tblLayout w:type="fixed"/>
        <w:tblLook w:val="0000" w:firstRow="0" w:lastRow="0" w:firstColumn="0" w:lastColumn="0" w:noHBand="0" w:noVBand="0"/>
      </w:tblPr>
      <w:tblGrid>
        <w:gridCol w:w="9053"/>
      </w:tblGrid>
      <w:tr w:rsidR="00000000">
        <w:trPr>
          <w:trHeight w:val="3717"/>
          <w:jc w:val="center"/>
        </w:trPr>
        <w:tc>
          <w:tcPr>
            <w:tcW w:w="9053" w:type="dxa"/>
          </w:tcPr>
          <w:p w:rsidR="00000000" w:rsidRDefault="003E498D">
            <w:pPr>
              <w:contextualSpacing/>
              <w:jc w:val="right"/>
              <w:rPr>
                <w:rFonts w:ascii="Times New Roman" w:hAnsi="Times New Roman"/>
                <w:sz w:val="26"/>
                <w:szCs w:val="26"/>
              </w:rPr>
            </w:pPr>
            <w:r>
              <w:rPr>
                <w:rFonts w:ascii="Times New Roman" w:hAnsi="Times New Roman"/>
                <w:sz w:val="26"/>
                <w:szCs w:val="26"/>
              </w:rPr>
              <w:lastRenderedPageBreak/>
              <w:t>Таблица № 20</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9464" w:dyaOrig="6285">
                <v:shape id="_x0000_i1036" type="#_x0000_t75" style="width:303pt;height:201pt;mso-wrap-style:square;mso-position-horizontal-relative:page;mso-position-vertical-relative:page" o:ole="">
                  <v:imagedata r:id="rId31" o:title=""/>
                </v:shape>
                <o:OLEObject Type="Embed" ProgID="PBrush" ShapeID="_x0000_i1036" DrawAspect="Content" ObjectID="_1448021973" r:id="rId32"/>
              </w:object>
            </w:r>
          </w:p>
        </w:tc>
      </w:tr>
    </w:tbl>
    <w:p w:rsidR="00000000" w:rsidRDefault="003E498D">
      <w:pPr>
        <w:ind w:firstLine="360"/>
        <w:contextualSpacing/>
        <w:jc w:val="both"/>
        <w:rPr>
          <w:rFonts w:ascii="Times New Roman" w:hAnsi="Times New Roman"/>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Разпространителят също така зарежда с вестници и списания и търговски вериги, корпоративни клиенти, находящи се в един регион ил</w:t>
      </w:r>
      <w:r>
        <w:rPr>
          <w:rFonts w:ascii="Times New Roman" w:hAnsi="Times New Roman"/>
          <w:sz w:val="26"/>
          <w:szCs w:val="26"/>
        </w:rPr>
        <w:t>и на територията на цялата страна. Съгласно информацията в ГФО на дружеството и представената на 26.10.12 г. справка обектите, които обслужва дружеството, са следните:</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За периода 2009г. - 2011г. – вериги бензиностанции Шел, ОМВ, Лукойл (изключителен достав</w:t>
      </w:r>
      <w:r>
        <w:rPr>
          <w:rFonts w:ascii="Times New Roman" w:hAnsi="Times New Roman"/>
          <w:sz w:val="26"/>
          <w:szCs w:val="26"/>
        </w:rPr>
        <w:t>чик), Петрол (общо 50 обекта) и Еко Елда (изключителен доставчик на общо 78 обекта) и от 2009г. търговска верига Фантастико, а през 2010г. -  Кауфланд (общо 41 обекта), Пикадили (общо 41 обекта), Т-Маркет (изключителен доставчик на общо 37 обекта), ДАР, СВ</w:t>
      </w:r>
      <w:r>
        <w:rPr>
          <w:rFonts w:ascii="Times New Roman" w:hAnsi="Times New Roman"/>
          <w:sz w:val="26"/>
          <w:szCs w:val="26"/>
        </w:rPr>
        <w:t>А-София, СВА-Варна. През 2012 г. дружеството вече не обслужва веригите бензиностанции на ОМВ (общо 91 обекта) и на Лукойл (общо 197 обекта). За доставчик на тези вериги се посочва разпространителят „Прес 2000” ЕООД.</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 „НАР“ ЕАД доставя вестници и списания п</w:t>
      </w:r>
      <w:r>
        <w:rPr>
          <w:rFonts w:ascii="Times New Roman" w:hAnsi="Times New Roman"/>
          <w:sz w:val="26"/>
          <w:szCs w:val="26"/>
        </w:rPr>
        <w:t>о направленията: София, Стара Загора, Ямбол, Сливен, Варна, Бургас, Русе и във Велико Търново. Разпространение на дребно чрез собствени/наети обекти осъществява основно в градовете София, Пазарджик и Бургас. Друга по-подробна информация (за броя на обектит</w:t>
      </w:r>
      <w:r>
        <w:rPr>
          <w:rFonts w:ascii="Times New Roman" w:hAnsi="Times New Roman"/>
          <w:sz w:val="26"/>
          <w:szCs w:val="26"/>
        </w:rPr>
        <w:t xml:space="preserve">е, депата) не е предоставена, въпреки изпратените в тази връзка напомнителни писма. </w:t>
      </w:r>
    </w:p>
    <w:p w:rsidR="00000000" w:rsidRDefault="003E498D">
      <w:pPr>
        <w:ind w:firstLine="708"/>
        <w:contextualSpacing/>
        <w:jc w:val="both"/>
        <w:rPr>
          <w:rFonts w:ascii="Times New Roman" w:hAnsi="Times New Roman"/>
          <w:color w:val="FF0000"/>
          <w:sz w:val="26"/>
          <w:szCs w:val="26"/>
        </w:rPr>
      </w:pPr>
      <w:r>
        <w:rPr>
          <w:rFonts w:ascii="Times New Roman" w:hAnsi="Times New Roman"/>
          <w:sz w:val="26"/>
          <w:szCs w:val="26"/>
        </w:rPr>
        <w:t xml:space="preserve">„Прес“ ЕООД и „Прес 2000“ ЕООД работят по направленията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sz w:val="26"/>
          <w:szCs w:val="26"/>
        </w:rPr>
        <w:t xml:space="preserve"> като само второто дружество реализира печатни издания и на дребно чрез общо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sz w:val="22"/>
          <w:szCs w:val="22"/>
          <w:lang w:val="en-US"/>
        </w:rPr>
        <w:t xml:space="preserve"> </w:t>
      </w:r>
      <w:r>
        <w:rPr>
          <w:rFonts w:ascii="Times New Roman" w:hAnsi="Times New Roman"/>
          <w:sz w:val="26"/>
          <w:szCs w:val="26"/>
        </w:rPr>
        <w:t xml:space="preserve">пункта в градовете: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color w:val="FF0000"/>
          <w:sz w:val="26"/>
          <w:szCs w:val="26"/>
        </w:rPr>
        <w:t>.</w:t>
      </w:r>
    </w:p>
    <w:p w:rsidR="00000000" w:rsidRDefault="003E498D">
      <w:pPr>
        <w:ind w:firstLine="708"/>
        <w:contextualSpacing/>
        <w:jc w:val="both"/>
        <w:rPr>
          <w:rFonts w:ascii="Times New Roman" w:hAnsi="Times New Roman"/>
          <w:sz w:val="26"/>
          <w:szCs w:val="26"/>
          <w:lang w:val="en-US"/>
        </w:rPr>
      </w:pPr>
      <w:r>
        <w:rPr>
          <w:rFonts w:ascii="Times New Roman" w:hAnsi="Times New Roman"/>
          <w:sz w:val="26"/>
          <w:szCs w:val="26"/>
        </w:rPr>
        <w:t xml:space="preserve">Списък с офисите/депата, крайните пунктове за продажба и  маршрутите на „Сенатор“ ООД и на контролираните от съдружниците му предприятия са обобщени в  таблицата по-долу. </w:t>
      </w:r>
    </w:p>
    <w:tbl>
      <w:tblPr>
        <w:tblW w:w="0" w:type="auto"/>
        <w:tblLayout w:type="fixed"/>
        <w:tblLook w:val="0000" w:firstRow="0" w:lastRow="0" w:firstColumn="0" w:lastColumn="0" w:noHBand="0" w:noVBand="0"/>
      </w:tblPr>
      <w:tblGrid>
        <w:gridCol w:w="9283"/>
      </w:tblGrid>
      <w:tr w:rsidR="00000000">
        <w:tc>
          <w:tcPr>
            <w:tcW w:w="9283" w:type="dxa"/>
          </w:tcPr>
          <w:p w:rsidR="00000000" w:rsidRDefault="003E498D">
            <w:pPr>
              <w:contextualSpacing/>
              <w:jc w:val="right"/>
              <w:rPr>
                <w:rFonts w:ascii="Times New Roman" w:hAnsi="Times New Roman"/>
                <w:sz w:val="26"/>
                <w:szCs w:val="26"/>
              </w:rPr>
            </w:pPr>
            <w:r>
              <w:rPr>
                <w:rFonts w:ascii="Times New Roman" w:hAnsi="Times New Roman"/>
                <w:sz w:val="26"/>
                <w:szCs w:val="26"/>
              </w:rPr>
              <w:t>Таблица № 21</w:t>
            </w:r>
          </w:p>
          <w:p w:rsidR="00000000" w:rsidRDefault="003E498D">
            <w:pPr>
              <w:contextualSpacing/>
              <w:jc w:val="both"/>
              <w:rPr>
                <w:rFonts w:ascii="Times New Roman" w:hAnsi="Times New Roman"/>
                <w:sz w:val="26"/>
                <w:szCs w:val="26"/>
              </w:rPr>
            </w:pPr>
            <w:r>
              <w:rPr>
                <w:rFonts w:ascii="Times New Roman" w:hAnsi="Times New Roman"/>
                <w:sz w:val="26"/>
                <w:szCs w:val="26"/>
              </w:rPr>
              <w:object w:dxaOrig="10245" w:dyaOrig="4940">
                <v:shape id="_x0000_i1037" type="#_x0000_t75" style="width:453pt;height:218.25pt;mso-wrap-style:square;mso-position-horizontal-relative:page;mso-position-vertical-relative:page" o:ole="">
                  <v:imagedata r:id="rId33" o:title=""/>
                </v:shape>
                <o:OLEObject Type="Embed" ProgID="PBrush" ShapeID="_x0000_i1037" DrawAspect="Content" ObjectID="_1448021974" r:id="rId34"/>
              </w:object>
            </w:r>
          </w:p>
        </w:tc>
      </w:tr>
    </w:tbl>
    <w:p w:rsidR="00000000" w:rsidRDefault="003E498D">
      <w:pPr>
        <w:ind w:firstLine="708"/>
        <w:contextualSpacing/>
        <w:rPr>
          <w:rFonts w:ascii="Times New Roman" w:hAnsi="Times New Roman"/>
          <w:sz w:val="26"/>
          <w:szCs w:val="26"/>
        </w:rPr>
      </w:pP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Всеки един от офисите на дружеството обслужва </w:t>
      </w:r>
      <w:r>
        <w:rPr>
          <w:rFonts w:ascii="Times New Roman" w:hAnsi="Times New Roman"/>
          <w:sz w:val="26"/>
          <w:szCs w:val="26"/>
        </w:rPr>
        <w:t xml:space="preserve">средно 10-30 обекта. „Оларт” ЕООД оперира в регионите – София, Враца, Монтана, Видин, В. Търново, Габрово, Сливен, Бургас, Перник.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Групата Герини оперира основно в Южна България в градовете: Пловдив, Хасково, Свиленград, Кърджали, Смолян, Бургас и Любимец</w:t>
      </w:r>
      <w:r>
        <w:rPr>
          <w:rFonts w:ascii="Times New Roman" w:hAnsi="Times New Roman"/>
          <w:sz w:val="26"/>
          <w:szCs w:val="26"/>
        </w:rPr>
        <w:t xml:space="preserve">, а чрез „Минерала-98“ ЕООД в гр. Самоков и чрез „Криста 2003“ ЕООД в гр. Дупница и Сапарева Баня. Групата притежава и обекти за продажба на вестници и списания в следните градове: Пловдив, Асеновград, Кърджали, Кричим, Стамболийски, Ново село, Брацигово, </w:t>
      </w:r>
      <w:r>
        <w:rPr>
          <w:rFonts w:ascii="Times New Roman" w:hAnsi="Times New Roman"/>
          <w:sz w:val="26"/>
          <w:szCs w:val="26"/>
        </w:rPr>
        <w:t>Стара Загора, Хасково, Смолян, Мадан, Златоград, Чепеларе, Нареченски бани, Баните, Харманли, Бургас, Гълъбово, Брезово, Самоков, Свиленград и Димитровград.</w:t>
      </w:r>
    </w:p>
    <w:p w:rsidR="00000000" w:rsidRDefault="003E498D">
      <w:pPr>
        <w:ind w:firstLine="708"/>
        <w:contextualSpacing/>
        <w:jc w:val="both"/>
        <w:rPr>
          <w:rFonts w:ascii="Times New Roman" w:hAnsi="Times New Roman"/>
          <w:color w:val="FF0000"/>
          <w:sz w:val="26"/>
          <w:szCs w:val="26"/>
        </w:rPr>
      </w:pPr>
      <w:r>
        <w:rPr>
          <w:rFonts w:ascii="Times New Roman" w:hAnsi="Times New Roman"/>
          <w:sz w:val="26"/>
          <w:szCs w:val="26"/>
        </w:rPr>
        <w:t xml:space="preserve">„Медика Прес“ и дъщерното му дружество „ММ Прес“ ЕООД  разпространяват изданията в областите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color w:val="FF0000"/>
          <w:sz w:val="26"/>
          <w:szCs w:val="26"/>
        </w:rPr>
        <w:t>.</w:t>
      </w:r>
      <w:r>
        <w:rPr>
          <w:rFonts w:ascii="Times New Roman" w:hAnsi="Times New Roman"/>
          <w:sz w:val="26"/>
          <w:szCs w:val="26"/>
        </w:rPr>
        <w:t xml:space="preserve"> Като свои основни конкуренти, работещи в горепосочените области, дружеството счита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sz w:val="22"/>
          <w:szCs w:val="22"/>
          <w:lang w:val="en-US"/>
        </w:rPr>
        <w:t xml:space="preserve">. </w:t>
      </w:r>
      <w:r>
        <w:rPr>
          <w:rFonts w:ascii="Times New Roman" w:hAnsi="Times New Roman"/>
          <w:sz w:val="26"/>
          <w:szCs w:val="26"/>
        </w:rPr>
        <w:t>С оглед предоставената информация за транспортните маршрути на анкетираните участници, може да се заключи, че при определянето на географския обхват на дистрибутор</w:t>
      </w:r>
      <w:r>
        <w:rPr>
          <w:rFonts w:ascii="Times New Roman" w:hAnsi="Times New Roman"/>
          <w:sz w:val="26"/>
          <w:szCs w:val="26"/>
        </w:rPr>
        <w:t>ите на едро няма участници, които да доставят до всички градове (в т.ч. до всички областни градове на страната) печатни издания. Също така не би могло да се приеме, че има ясно изразено разпределяне на разпространението на печатните издания по дистрибутори</w:t>
      </w:r>
      <w:r>
        <w:rPr>
          <w:rFonts w:ascii="Times New Roman" w:hAnsi="Times New Roman"/>
          <w:sz w:val="26"/>
          <w:szCs w:val="26"/>
        </w:rPr>
        <w:t xml:space="preserve"> (което се споделя и от анкетираните участници (Булгарпрес ООД, НАР ЕАД и др.), регионално разпределение в разпространението на вестници и списания няма.  Например в градовете Варна,  Бургас, Русе, освен НАР АД доставят печатни издания и Агенция Стрела ЕОО</w:t>
      </w:r>
      <w:r>
        <w:rPr>
          <w:rFonts w:ascii="Times New Roman" w:hAnsi="Times New Roman"/>
          <w:sz w:val="26"/>
          <w:szCs w:val="26"/>
        </w:rPr>
        <w:t>Д, в гр. Велико Търново освен НАР ЕАД, оперира и Оларт ЕООД, Агенция Стрела ЕООД, т.е. може да се направи заключението, че основните разпространители припокриват транспортните си маршрути в по-големите областни градове на страната. Във всяка една област съ</w:t>
      </w:r>
      <w:r>
        <w:rPr>
          <w:rFonts w:ascii="Times New Roman" w:hAnsi="Times New Roman"/>
          <w:sz w:val="26"/>
          <w:szCs w:val="26"/>
        </w:rPr>
        <w:t>ществуват по-малки разпространители на едро, които получават вестниците и списанията или от горепосочените основни разпространители и/или направо от издателите (за някои от печатните издания) и същите имат изградени местни дистрибуторски мрежи, обхващащи н</w:t>
      </w:r>
      <w:r>
        <w:rPr>
          <w:rFonts w:ascii="Times New Roman" w:hAnsi="Times New Roman"/>
          <w:sz w:val="26"/>
          <w:szCs w:val="26"/>
        </w:rPr>
        <w:t xml:space="preserve">яколко градове и населени места, като зареждат/доставят  на дистрибутори на дребно. </w:t>
      </w:r>
      <w:r>
        <w:rPr>
          <w:rFonts w:ascii="Times New Roman" w:hAnsi="Times New Roman"/>
          <w:sz w:val="26"/>
          <w:szCs w:val="26"/>
        </w:rPr>
        <w:lastRenderedPageBreak/>
        <w:t xml:space="preserve">Например „Медика Прес“  ЕООД разпространява печатни издания в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sz w:val="22"/>
          <w:szCs w:val="22"/>
          <w:lang w:val="en-US"/>
        </w:rPr>
        <w:t xml:space="preserve"> </w:t>
      </w:r>
      <w:r>
        <w:rPr>
          <w:rFonts w:ascii="Times New Roman" w:hAnsi="Times New Roman"/>
          <w:sz w:val="26"/>
          <w:szCs w:val="26"/>
        </w:rPr>
        <w:t xml:space="preserve">и доставя издания на своето дъщерно дружество „ММ Прес“ ЕООД, което ги реализира в градовете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color w:val="FF0000"/>
          <w:sz w:val="26"/>
          <w:szCs w:val="26"/>
        </w:rPr>
        <w:t>.</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Пр</w:t>
      </w:r>
      <w:r>
        <w:rPr>
          <w:rFonts w:ascii="Times New Roman" w:hAnsi="Times New Roman"/>
          <w:sz w:val="26"/>
          <w:szCs w:val="26"/>
        </w:rPr>
        <w:t>едвид гореизложеното и на база информацията, с която разполага Комисията за основни участници на пазара на разпространение на едро на печатни издания, могат да се определят: Групата от предприятия, контролирани от „Карне-М“ ЕООД - „Национална Агенция Разпр</w:t>
      </w:r>
      <w:r>
        <w:rPr>
          <w:rFonts w:ascii="Times New Roman" w:hAnsi="Times New Roman"/>
          <w:sz w:val="26"/>
          <w:szCs w:val="26"/>
        </w:rPr>
        <w:t xml:space="preserve">остранение" ЕАД (НАР), „Прес" ЕООД и “Прес 2000“ ЕООД; „Агенция Стрела" ЕООД, дъщерно дружество на МГБХ, през което минават всички продажби на издаваните от Групата вестници и списания; „Оларт" ЕООД/„Сенатор" ООД и Групата Герини. Всички тези дистрибутори </w:t>
      </w:r>
      <w:r>
        <w:rPr>
          <w:rFonts w:ascii="Times New Roman" w:hAnsi="Times New Roman"/>
          <w:sz w:val="26"/>
          <w:szCs w:val="26"/>
        </w:rPr>
        <w:t xml:space="preserve">обслужват основни областни градове в страната и имат потенциал да навлязат в други региони, а също така притежават собствени обекти за продажба (павилиони) в различни градове в страната, които се зареждат директно или чрез местните (регионални) фирми.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Сре</w:t>
      </w:r>
      <w:r>
        <w:rPr>
          <w:rFonts w:ascii="Times New Roman" w:hAnsi="Times New Roman"/>
          <w:sz w:val="26"/>
          <w:szCs w:val="26"/>
        </w:rPr>
        <w:t>д горепосочените разпространители „Агенция Стрела“ ЕООД е вертикално интегрирано предприятие, част от „Медийна Група България Холдинг“ ООД, която е издател на националните ежедневници „24 часа“, „Труд“ и „168 часа“ и на списания. Дружеството, както бе уста</w:t>
      </w:r>
      <w:r>
        <w:rPr>
          <w:rFonts w:ascii="Times New Roman" w:hAnsi="Times New Roman"/>
          <w:sz w:val="26"/>
          <w:szCs w:val="26"/>
        </w:rPr>
        <w:t>новено по-горе, има изключителните права да дистрибутира печатните издания на Групата. В хода на извършване на анализа, се установи, че и Оларт ЕООД през анализирания период е придобил контрол върху регионални издатели на вестници (Черноморски фар ЕООД, Бу</w:t>
      </w:r>
      <w:r>
        <w:rPr>
          <w:rFonts w:ascii="Times New Roman" w:hAnsi="Times New Roman"/>
          <w:sz w:val="26"/>
          <w:szCs w:val="26"/>
        </w:rPr>
        <w:t xml:space="preserve">ргас; Конкурент Нюз ООД, Враца и ИК Родопи ООД, Кърджали).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 оглед гореизложеното може да се направи изводът, че за изследвания период от време е налице концентриране както на хоризонтално ниво (между разпространителите), така и на вертикално между разпро</w:t>
      </w:r>
      <w:r>
        <w:rPr>
          <w:rFonts w:ascii="Times New Roman" w:hAnsi="Times New Roman"/>
          <w:sz w:val="26"/>
          <w:szCs w:val="26"/>
        </w:rPr>
        <w:t>странители и издатели.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Също така в хода на анализа се установи, че разпространителите търсят и други форми на сътрудничество при разпространението на печатни издания, целящи оптимизиране освен на разходите, така и на получаване на по-висок размер ТО от изд</w:t>
      </w:r>
      <w:r>
        <w:rPr>
          <w:rFonts w:ascii="Times New Roman" w:hAnsi="Times New Roman"/>
          <w:sz w:val="26"/>
          <w:szCs w:val="26"/>
        </w:rPr>
        <w:t>ателите при закупено по-голямо количество издания. Пример в това отношение е съвместното предприятие „Национална дистрибуция“ ООД, със съдружници към момента  „Братя Герини-Прес“ ЕООД и Петър Герин с дял общо 50 % и  „Сенатор“ ООД и неговия управител Цвета</w:t>
      </w:r>
      <w:r>
        <w:rPr>
          <w:rFonts w:ascii="Times New Roman" w:hAnsi="Times New Roman"/>
          <w:sz w:val="26"/>
          <w:szCs w:val="26"/>
        </w:rPr>
        <w:t>н Ангелов – общо 50 %. Дружеството закупува печатните издания директно от печатниците на издателите, след което ги транспортира до своето депо на рампата и ги разпределя на разпространители, с които има търговски взаимоотношения. Не е предоставена конкретн</w:t>
      </w:r>
      <w:r>
        <w:rPr>
          <w:rFonts w:ascii="Times New Roman" w:hAnsi="Times New Roman"/>
          <w:sz w:val="26"/>
          <w:szCs w:val="26"/>
        </w:rPr>
        <w:t xml:space="preserve">о информация с кои предприятия „Национална дистрибуция“ ООД има сключени договори. Дружеството не разпространява изданията по транспортни маршрути, нито има собствени/наети павилиони, чрез които да реализира издания на дребно.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Съгласно становището на „Доб</w:t>
      </w:r>
      <w:r>
        <w:rPr>
          <w:rFonts w:ascii="Times New Roman" w:hAnsi="Times New Roman"/>
          <w:sz w:val="26"/>
          <w:szCs w:val="26"/>
        </w:rPr>
        <w:t>и Прес“ ЕООД, най-често дистрибуторите си сътрудничат по отношение на транспорта на печатните издания по дадено направление. Такава практика прилага и Прес 2000 ЕООД.  „Сенатор“ ООД (изпълнител) прилага договор за извършване на транспортни услуги от 26.03.</w:t>
      </w:r>
      <w:r>
        <w:rPr>
          <w:rFonts w:ascii="Times New Roman" w:hAnsi="Times New Roman"/>
          <w:sz w:val="26"/>
          <w:szCs w:val="26"/>
        </w:rPr>
        <w:t xml:space="preserve">2009г. с „Агенция Стрела“ ЕООД (възложител), като изпълнителят приема да извършва възмездно транспортни услуги на възложителя (превоз на печатни </w:t>
      </w:r>
      <w:r>
        <w:rPr>
          <w:rFonts w:ascii="Times New Roman" w:hAnsi="Times New Roman"/>
          <w:sz w:val="26"/>
          <w:szCs w:val="26"/>
        </w:rPr>
        <w:lastRenderedPageBreak/>
        <w:t>издания) в следните обекти: Банско; Еко Елда-Банско, Лукойл Добринище; Лукойл Якоруда, Гоце Делчев, Белица, Сту</w:t>
      </w:r>
      <w:r>
        <w:rPr>
          <w:rFonts w:ascii="Times New Roman" w:hAnsi="Times New Roman"/>
          <w:sz w:val="26"/>
          <w:szCs w:val="26"/>
        </w:rPr>
        <w:t xml:space="preserve">дена, Пещера, Разлог; Баничан, ОМВ – Банско. Възнаграждението за транспортната услуга се определя в размер на 2 % от коричната цена на доставените издания въз основа на представени справки във вид на разпечатка за предаваните за транспорт печатни издания. </w:t>
      </w:r>
      <w:r>
        <w:rPr>
          <w:rFonts w:ascii="Times New Roman" w:hAnsi="Times New Roman"/>
          <w:sz w:val="26"/>
          <w:szCs w:val="26"/>
        </w:rPr>
        <w:t xml:space="preserve">При поискване е договорено изпълнителят да извършва и еднократни транспортни услуги, свързани с основната дейност на възложителя. В становището си до КЗК, </w:t>
      </w:r>
      <w:r>
        <w:rPr>
          <w:rFonts w:ascii="Times New Roman" w:hAnsi="Times New Roman"/>
          <w:b/>
          <w:sz w:val="26"/>
          <w:szCs w:val="26"/>
        </w:rPr>
        <w:t>„</w:t>
      </w:r>
      <w:r>
        <w:rPr>
          <w:rFonts w:ascii="Times New Roman" w:hAnsi="Times New Roman"/>
          <w:sz w:val="26"/>
          <w:szCs w:val="26"/>
        </w:rPr>
        <w:t>Бояна 97“ ЕООД посочва също като практика ползването на транспортни услуги на конкурентни фирми до р</w:t>
      </w:r>
      <w:r>
        <w:rPr>
          <w:rFonts w:ascii="Times New Roman" w:hAnsi="Times New Roman"/>
          <w:sz w:val="26"/>
          <w:szCs w:val="26"/>
        </w:rPr>
        <w:t>азлични населени места като външна услуга („САНТ“ ЕООД от групата на МГБХ). Дружеството изтъква, че ползата от подобно сътрудничество е ясната цена на транспортната услуга. По този начин разпространителят не се ангажира с поддръжка на автомобилен парк, зап</w:t>
      </w:r>
      <w:r>
        <w:rPr>
          <w:rFonts w:ascii="Times New Roman" w:hAnsi="Times New Roman"/>
          <w:sz w:val="26"/>
          <w:szCs w:val="26"/>
        </w:rPr>
        <w:t>лати за шофьори и др.</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Принципно търговци на едро, които организират транспорта на други дистрибутори, печелят от разликата в търговските отстъпки (ТО), които им предоставят издателите, и тези, при които доставят печатните издания.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„Булгарпрес“ ООД също из</w:t>
      </w:r>
      <w:r>
        <w:rPr>
          <w:rFonts w:ascii="Times New Roman" w:hAnsi="Times New Roman"/>
          <w:sz w:val="26"/>
          <w:szCs w:val="26"/>
        </w:rPr>
        <w:t xml:space="preserve">гражда частично партньорство с други дистрибутори по транспортни схеми, което минимизира разходите на извършваната от него дейност.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По данни на анкетираните участници разпространението на печатни издания в столицата формира дял от  40-45 % спрямо общия за</w:t>
      </w:r>
      <w:r>
        <w:rPr>
          <w:rFonts w:ascii="Times New Roman" w:hAnsi="Times New Roman"/>
          <w:sz w:val="26"/>
          <w:szCs w:val="26"/>
        </w:rPr>
        <w:t xml:space="preserve"> страната, като се посочва присъствието на голям брой разпространители. В тази връзка бяха изпратени писма с искане на информация до следните основни участници: „Разпространение на печата“ АД; „Мелао“ ЕООД; „АКС Трейдинг“ ООД; „Семир –периодичен печат“ ЕОО</w:t>
      </w:r>
      <w:r>
        <w:rPr>
          <w:rFonts w:ascii="Times New Roman" w:hAnsi="Times New Roman"/>
          <w:sz w:val="26"/>
          <w:szCs w:val="26"/>
        </w:rPr>
        <w:t>Д; „Жак Прес“ ООД; „“Бояна 97“ ЕООД; „Ел Ес Травъл Ритейл България“ ЕООД; „Дибо 97“ ООД; „Дори 97“ ЕООД; ЕТ „Силвия-Тончо Гочев“; ЕТ „Тони-ДВ Цветанка Иванова“; ЕТ „Холиролс-Георги Ефремов“; „Пресзона“ ЕООД; „Баев“ ЕООД и „Софийска преса“ ООД. От запитанит</w:t>
      </w:r>
      <w:r>
        <w:rPr>
          <w:rFonts w:ascii="Times New Roman" w:hAnsi="Times New Roman"/>
          <w:sz w:val="26"/>
          <w:szCs w:val="26"/>
        </w:rPr>
        <w:t>е предприятия едва половината от тях отговориха на поставените от КЗК въпроси, като се оказа, че никой от тях не разполага с информация за обема на пазара в гр. София, нито за броя на крайните пунктове. „Разпространение на печата“ АД оценява пазарния</w:t>
      </w:r>
      <w:r>
        <w:rPr>
          <w:rFonts w:ascii="Times New Roman" w:hAnsi="Times New Roman"/>
          <w:color w:val="4F81BD"/>
          <w:sz w:val="26"/>
          <w:szCs w:val="26"/>
        </w:rPr>
        <w:t xml:space="preserve"> </w:t>
      </w:r>
      <w:r>
        <w:rPr>
          <w:rFonts w:ascii="Times New Roman" w:hAnsi="Times New Roman"/>
          <w:sz w:val="26"/>
          <w:szCs w:val="26"/>
        </w:rPr>
        <w:t>си дя</w:t>
      </w:r>
      <w:r>
        <w:rPr>
          <w:rFonts w:ascii="Times New Roman" w:hAnsi="Times New Roman"/>
          <w:sz w:val="26"/>
          <w:szCs w:val="26"/>
        </w:rPr>
        <w:t>л в границите на 12-15 %, а „АКС Трейдинг“ ООД приблизително около 5 %.</w:t>
      </w:r>
    </w:p>
    <w:p w:rsidR="00000000" w:rsidRDefault="003E498D">
      <w:pPr>
        <w:ind w:firstLine="708"/>
        <w:contextualSpacing/>
        <w:jc w:val="both"/>
        <w:rPr>
          <w:rFonts w:ascii="Times New Roman" w:hAnsi="Times New Roman"/>
          <w:sz w:val="26"/>
          <w:szCs w:val="26"/>
        </w:rPr>
      </w:pPr>
    </w:p>
    <w:p w:rsidR="00000000" w:rsidRDefault="003E498D">
      <w:pPr>
        <w:pStyle w:val="Heading2"/>
        <w:spacing w:before="0"/>
        <w:contextualSpacing/>
        <w:rPr>
          <w:rFonts w:ascii="Times New Roman" w:hAnsi="Times New Roman"/>
        </w:rPr>
      </w:pPr>
      <w:r>
        <w:rPr>
          <w:rFonts w:ascii="Times New Roman" w:hAnsi="Times New Roman"/>
          <w:color w:val="auto"/>
        </w:rPr>
        <w:t xml:space="preserve">4.4. Анализ на финансовите показатели на анкетираните разпространители на печатни издания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Анализът на анкетираните участници се основава на публикуваната в индивидуалните и консолиди</w:t>
      </w:r>
      <w:r>
        <w:rPr>
          <w:rFonts w:ascii="Times New Roman" w:hAnsi="Times New Roman"/>
          <w:sz w:val="26"/>
          <w:szCs w:val="26"/>
        </w:rPr>
        <w:t>рани  ГФО</w:t>
      </w:r>
      <w:r>
        <w:rPr>
          <w:rStyle w:val="FootnoteReference"/>
          <w:rFonts w:ascii="Times New Roman" w:hAnsi="Times New Roman"/>
          <w:sz w:val="26"/>
          <w:szCs w:val="26"/>
        </w:rPr>
        <w:footnoteReference w:id="27"/>
      </w:r>
      <w:r>
        <w:rPr>
          <w:rFonts w:ascii="Times New Roman" w:hAnsi="Times New Roman"/>
          <w:sz w:val="26"/>
          <w:szCs w:val="26"/>
        </w:rPr>
        <w:t xml:space="preserve"> информация за периода 2009 г.-2011 г.</w:t>
      </w:r>
    </w:p>
    <w:p w:rsidR="00000000" w:rsidRDefault="003E498D">
      <w:pPr>
        <w:contextualSpacing/>
        <w:jc w:val="both"/>
        <w:rPr>
          <w:rFonts w:ascii="Times New Roman" w:hAnsi="Times New Roman"/>
          <w:sz w:val="26"/>
          <w:szCs w:val="26"/>
          <w:u w:val="single"/>
        </w:rPr>
      </w:pPr>
    </w:p>
    <w:p w:rsidR="00000000" w:rsidRDefault="003E498D">
      <w:pPr>
        <w:contextualSpacing/>
        <w:jc w:val="both"/>
        <w:rPr>
          <w:rFonts w:ascii="Times New Roman" w:hAnsi="Times New Roman"/>
          <w:sz w:val="26"/>
          <w:szCs w:val="26"/>
          <w:u w:val="single"/>
        </w:rPr>
      </w:pPr>
      <w:r>
        <w:rPr>
          <w:rFonts w:ascii="Times New Roman" w:hAnsi="Times New Roman"/>
          <w:sz w:val="26"/>
          <w:szCs w:val="26"/>
          <w:u w:val="single"/>
        </w:rPr>
        <w:t>Описание на показателите</w:t>
      </w:r>
    </w:p>
    <w:p w:rsidR="00000000" w:rsidRDefault="003E498D">
      <w:pPr>
        <w:ind w:firstLine="708"/>
        <w:contextualSpacing/>
        <w:jc w:val="both"/>
        <w:rPr>
          <w:rFonts w:ascii="Times New Roman" w:hAnsi="Times New Roman"/>
          <w:b/>
          <w:sz w:val="26"/>
          <w:szCs w:val="26"/>
        </w:rPr>
      </w:pPr>
      <w:r>
        <w:rPr>
          <w:rFonts w:ascii="Times New Roman" w:hAnsi="Times New Roman"/>
          <w:b/>
          <w:sz w:val="26"/>
          <w:szCs w:val="26"/>
        </w:rPr>
        <w:t xml:space="preserve">4.4.1 Нетни приходи от разпространение на печатни издания към общите оперативни приходи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След обобщаване на данните КЗК откроява максималната и минималната стойност на  съотношениет</w:t>
      </w:r>
      <w:r>
        <w:rPr>
          <w:rFonts w:ascii="Times New Roman" w:hAnsi="Times New Roman"/>
          <w:sz w:val="26"/>
          <w:szCs w:val="26"/>
        </w:rPr>
        <w:t xml:space="preserve">о нетни приходи от дейността по разпространение на </w:t>
      </w:r>
      <w:r>
        <w:rPr>
          <w:rFonts w:ascii="Times New Roman" w:hAnsi="Times New Roman"/>
          <w:sz w:val="26"/>
          <w:szCs w:val="26"/>
        </w:rPr>
        <w:lastRenderedPageBreak/>
        <w:t>печатни издания към общите оперативни приходи в обособените групи участници.</w:t>
      </w:r>
    </w:p>
    <w:p w:rsidR="00000000" w:rsidRDefault="003E498D">
      <w:pPr>
        <w:ind w:firstLine="708"/>
        <w:contextualSpacing/>
        <w:jc w:val="both"/>
        <w:rPr>
          <w:rFonts w:ascii="Times New Roman" w:hAnsi="Times New Roman"/>
          <w:sz w:val="26"/>
          <w:szCs w:val="26"/>
        </w:rPr>
      </w:pPr>
    </w:p>
    <w:p w:rsidR="00000000" w:rsidRDefault="003E498D">
      <w:pPr>
        <w:ind w:firstLine="708"/>
        <w:contextualSpacing/>
        <w:jc w:val="both"/>
        <w:rPr>
          <w:rFonts w:ascii="Times New Roman" w:hAnsi="Times New Roman"/>
          <w:b/>
          <w:sz w:val="26"/>
          <w:szCs w:val="26"/>
        </w:rPr>
      </w:pPr>
      <w:r>
        <w:rPr>
          <w:rFonts w:ascii="Times New Roman" w:hAnsi="Times New Roman"/>
          <w:b/>
          <w:sz w:val="26"/>
          <w:szCs w:val="26"/>
        </w:rPr>
        <w:t>4.4.2.Промяна на нетните приходи от разпространение</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КЗК изчислява промяната на приходите от разпространение на печатни издания </w:t>
      </w:r>
      <w:r>
        <w:rPr>
          <w:rFonts w:ascii="Times New Roman" w:hAnsi="Times New Roman"/>
          <w:sz w:val="26"/>
          <w:szCs w:val="26"/>
        </w:rPr>
        <w:t>на годишна база. Комисията идентифицира две групи от участници: реализиращи позитивна и негативна промяна в приходите и след това отчита максималните стойности в двете категории.</w:t>
      </w:r>
    </w:p>
    <w:p w:rsidR="00000000" w:rsidRDefault="003E498D">
      <w:pPr>
        <w:ind w:firstLine="708"/>
        <w:contextualSpacing/>
        <w:jc w:val="both"/>
        <w:rPr>
          <w:rFonts w:ascii="Times New Roman" w:hAnsi="Times New Roman"/>
          <w:sz w:val="26"/>
          <w:szCs w:val="26"/>
        </w:rPr>
      </w:pPr>
    </w:p>
    <w:p w:rsidR="00000000" w:rsidRDefault="003E498D">
      <w:pPr>
        <w:numPr>
          <w:ilvl w:val="2"/>
          <w:numId w:val="1"/>
        </w:numPr>
        <w:contextualSpacing/>
        <w:jc w:val="both"/>
        <w:rPr>
          <w:rFonts w:ascii="Times New Roman" w:hAnsi="Times New Roman"/>
          <w:b/>
          <w:sz w:val="26"/>
          <w:szCs w:val="26"/>
        </w:rPr>
      </w:pPr>
      <w:r>
        <w:rPr>
          <w:rFonts w:ascii="Times New Roman" w:hAnsi="Times New Roman"/>
          <w:b/>
          <w:sz w:val="26"/>
          <w:szCs w:val="26"/>
        </w:rPr>
        <w:t>Промяна на общите разходи от оперативна дейност</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КЗК изчислява промяната на о</w:t>
      </w:r>
      <w:r>
        <w:rPr>
          <w:rFonts w:ascii="Times New Roman" w:hAnsi="Times New Roman"/>
          <w:sz w:val="26"/>
          <w:szCs w:val="26"/>
        </w:rPr>
        <w:t>бщите разходи от оперативна дейност като промяна на годишна база, вкл. стойността на закупените издания и оперативните  разходи за дейността. Комисията идентифицира две групи от участници: с позитивна и негативна промяна в разходите и след това отчита макс</w:t>
      </w:r>
      <w:r>
        <w:rPr>
          <w:rFonts w:ascii="Times New Roman" w:hAnsi="Times New Roman"/>
          <w:sz w:val="26"/>
          <w:szCs w:val="26"/>
        </w:rPr>
        <w:t>ималните стойности в двете категории.</w:t>
      </w:r>
    </w:p>
    <w:p w:rsidR="00000000" w:rsidRDefault="003E498D">
      <w:pPr>
        <w:ind w:firstLine="708"/>
        <w:contextualSpacing/>
        <w:jc w:val="both"/>
        <w:rPr>
          <w:rFonts w:ascii="Times New Roman" w:hAnsi="Times New Roman"/>
          <w:sz w:val="26"/>
          <w:szCs w:val="26"/>
        </w:rPr>
      </w:pPr>
    </w:p>
    <w:p w:rsidR="00000000" w:rsidRDefault="003E498D">
      <w:pPr>
        <w:numPr>
          <w:ilvl w:val="2"/>
          <w:numId w:val="1"/>
        </w:numPr>
        <w:contextualSpacing/>
        <w:jc w:val="both"/>
        <w:rPr>
          <w:rFonts w:ascii="Times New Roman" w:hAnsi="Times New Roman"/>
          <w:b/>
          <w:sz w:val="26"/>
          <w:szCs w:val="26"/>
        </w:rPr>
      </w:pPr>
      <w:r>
        <w:rPr>
          <w:rFonts w:ascii="Times New Roman" w:hAnsi="Times New Roman"/>
          <w:b/>
          <w:sz w:val="26"/>
          <w:szCs w:val="26"/>
        </w:rPr>
        <w:t>Промяна на крайния финансов резултат (нетна печалба/загуба)</w:t>
      </w:r>
    </w:p>
    <w:p w:rsidR="00000000" w:rsidRDefault="003E498D">
      <w:pPr>
        <w:ind w:firstLine="585"/>
        <w:contextualSpacing/>
        <w:jc w:val="both"/>
        <w:rPr>
          <w:rFonts w:ascii="Times New Roman" w:hAnsi="Times New Roman"/>
          <w:sz w:val="26"/>
          <w:szCs w:val="26"/>
        </w:rPr>
      </w:pPr>
      <w:r>
        <w:rPr>
          <w:rFonts w:ascii="Times New Roman" w:hAnsi="Times New Roman"/>
          <w:sz w:val="26"/>
          <w:szCs w:val="26"/>
        </w:rPr>
        <w:t xml:space="preserve">КЗК проследява и обобщава промяната в нетната печалба/загуба индивидуално на всеки един от участниците. </w:t>
      </w:r>
    </w:p>
    <w:p w:rsidR="00000000" w:rsidRDefault="003E498D">
      <w:pPr>
        <w:ind w:firstLine="585"/>
        <w:contextualSpacing/>
        <w:jc w:val="both"/>
        <w:rPr>
          <w:rFonts w:ascii="Times New Roman" w:hAnsi="Times New Roman"/>
          <w:sz w:val="26"/>
          <w:szCs w:val="26"/>
        </w:rPr>
      </w:pPr>
    </w:p>
    <w:p w:rsidR="00000000" w:rsidRDefault="003E498D">
      <w:pPr>
        <w:ind w:left="585"/>
        <w:contextualSpacing/>
        <w:jc w:val="both"/>
        <w:rPr>
          <w:rFonts w:ascii="Times New Roman" w:hAnsi="Times New Roman"/>
          <w:b/>
          <w:sz w:val="26"/>
          <w:szCs w:val="26"/>
        </w:rPr>
      </w:pPr>
      <w:r>
        <w:rPr>
          <w:rFonts w:ascii="Times New Roman" w:hAnsi="Times New Roman"/>
          <w:b/>
          <w:sz w:val="26"/>
          <w:szCs w:val="26"/>
        </w:rPr>
        <w:t>4.4.5. Коефициент на рентабилност на приходите</w:t>
      </w:r>
      <w:r>
        <w:rPr>
          <w:rFonts w:ascii="Times New Roman" w:hAnsi="Times New Roman"/>
          <w:sz w:val="26"/>
          <w:szCs w:val="26"/>
        </w:rPr>
        <w:t xml:space="preserve"> </w:t>
      </w:r>
    </w:p>
    <w:p w:rsidR="00000000" w:rsidRDefault="003E498D">
      <w:pPr>
        <w:autoSpaceDE w:val="0"/>
        <w:autoSpaceDN w:val="0"/>
        <w:adjustRightInd w:val="0"/>
        <w:ind w:firstLine="720"/>
        <w:contextualSpacing/>
        <w:jc w:val="both"/>
        <w:rPr>
          <w:rFonts w:ascii="Times New Roman" w:hAnsi="Times New Roman"/>
          <w:sz w:val="26"/>
          <w:szCs w:val="26"/>
          <w:lang w:val="en-US"/>
        </w:rPr>
      </w:pPr>
      <w:r>
        <w:rPr>
          <w:rFonts w:ascii="Times New Roman" w:hAnsi="Times New Roman"/>
          <w:sz w:val="26"/>
          <w:szCs w:val="26"/>
        </w:rPr>
        <w:t>Пок</w:t>
      </w:r>
      <w:r>
        <w:rPr>
          <w:rFonts w:ascii="Times New Roman" w:hAnsi="Times New Roman"/>
          <w:sz w:val="26"/>
          <w:szCs w:val="26"/>
        </w:rPr>
        <w:t>азателите за рентабилност са количествени характеристики на ефективността на приходите от продажби, на собствения капитал и на привлечения капитал. Показателите за рентабилност са положителни величини, когато финансовият резултат е печалба, и отрицателни –</w:t>
      </w:r>
      <w:r>
        <w:rPr>
          <w:rFonts w:ascii="Times New Roman" w:hAnsi="Times New Roman"/>
          <w:sz w:val="26"/>
          <w:szCs w:val="26"/>
        </w:rPr>
        <w:t xml:space="preserve"> когато финансовият резултат е загуба. Показателите за рентабилност показват темповете на капитализация/декапитализация на дружеството. Коефициентът на рентабилност на приходите от продажби е отношение на финансовия резултат (нетна печалба/загуба) и нетния</w:t>
      </w:r>
      <w:r>
        <w:rPr>
          <w:rFonts w:ascii="Times New Roman" w:hAnsi="Times New Roman"/>
          <w:sz w:val="26"/>
          <w:szCs w:val="26"/>
        </w:rPr>
        <w:t xml:space="preserve"> размер на приходите от продажби. Той показва каква е печалбата на 100 лв. реализирани приходи. </w:t>
      </w:r>
    </w:p>
    <w:p w:rsidR="00000000" w:rsidRDefault="003E498D">
      <w:pPr>
        <w:autoSpaceDE w:val="0"/>
        <w:autoSpaceDN w:val="0"/>
        <w:adjustRightInd w:val="0"/>
        <w:ind w:firstLine="720"/>
        <w:contextualSpacing/>
        <w:jc w:val="both"/>
        <w:rPr>
          <w:rFonts w:ascii="Times New Roman" w:hAnsi="Times New Roman"/>
          <w:sz w:val="26"/>
          <w:szCs w:val="26"/>
          <w:lang w:val="en-US"/>
        </w:rPr>
      </w:pPr>
    </w:p>
    <w:p w:rsidR="00000000" w:rsidRDefault="003E498D">
      <w:pPr>
        <w:numPr>
          <w:ilvl w:val="2"/>
          <w:numId w:val="2"/>
        </w:numPr>
        <w:contextualSpacing/>
        <w:jc w:val="both"/>
        <w:rPr>
          <w:rFonts w:ascii="Times New Roman" w:hAnsi="Times New Roman"/>
          <w:sz w:val="26"/>
          <w:szCs w:val="26"/>
        </w:rPr>
      </w:pPr>
      <w:r>
        <w:rPr>
          <w:rFonts w:ascii="Times New Roman" w:hAnsi="Times New Roman"/>
          <w:b/>
          <w:sz w:val="26"/>
          <w:szCs w:val="26"/>
        </w:rPr>
        <w:t>Коефициент на задлъжнялост</w:t>
      </w:r>
    </w:p>
    <w:p w:rsidR="00000000" w:rsidRDefault="003E498D">
      <w:pPr>
        <w:ind w:firstLine="584"/>
        <w:contextualSpacing/>
        <w:jc w:val="both"/>
        <w:rPr>
          <w:rFonts w:ascii="Times New Roman" w:hAnsi="Times New Roman"/>
          <w:sz w:val="26"/>
          <w:szCs w:val="26"/>
        </w:rPr>
      </w:pPr>
      <w:r>
        <w:rPr>
          <w:rFonts w:ascii="Times New Roman" w:hAnsi="Times New Roman"/>
          <w:sz w:val="26"/>
          <w:szCs w:val="26"/>
        </w:rPr>
        <w:t>Коефициентът на задлъжнялост е съотношение на задълженията към собствения капитал и е обратнопропорционален на коефициента на финан</w:t>
      </w:r>
      <w:r>
        <w:rPr>
          <w:rFonts w:ascii="Times New Roman" w:hAnsi="Times New Roman"/>
          <w:sz w:val="26"/>
          <w:szCs w:val="26"/>
        </w:rPr>
        <w:t>сова автономност. Колкото по-голяма е стойността му, толкова по-голяма е задлъжнялостта на дружеството (напр. ако стойността на коефициента е 13,139, това означава, че на 1 лев собствен капитал съответстват 13,139 лв. задължения).</w:t>
      </w:r>
    </w:p>
    <w:p w:rsidR="00000000" w:rsidRDefault="003E498D">
      <w:pPr>
        <w:ind w:firstLine="584"/>
        <w:contextualSpacing/>
        <w:jc w:val="both"/>
        <w:rPr>
          <w:rFonts w:ascii="Times New Roman" w:hAnsi="Times New Roman"/>
          <w:sz w:val="26"/>
          <w:szCs w:val="26"/>
        </w:rPr>
      </w:pPr>
    </w:p>
    <w:p w:rsidR="00000000" w:rsidRDefault="003E498D">
      <w:pPr>
        <w:numPr>
          <w:ilvl w:val="2"/>
          <w:numId w:val="2"/>
        </w:numPr>
        <w:contextualSpacing/>
        <w:jc w:val="both"/>
        <w:rPr>
          <w:rFonts w:ascii="Times New Roman" w:hAnsi="Times New Roman"/>
          <w:sz w:val="26"/>
          <w:szCs w:val="26"/>
        </w:rPr>
      </w:pPr>
      <w:r>
        <w:rPr>
          <w:rFonts w:ascii="Times New Roman" w:hAnsi="Times New Roman"/>
          <w:b/>
          <w:sz w:val="26"/>
          <w:szCs w:val="26"/>
        </w:rPr>
        <w:t>Съотношение на приходите</w:t>
      </w:r>
      <w:r>
        <w:rPr>
          <w:rFonts w:ascii="Times New Roman" w:hAnsi="Times New Roman"/>
          <w:b/>
          <w:sz w:val="26"/>
          <w:szCs w:val="26"/>
        </w:rPr>
        <w:t xml:space="preserve"> от разпространение на печатни издания към стойността на закупените издания</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Анализът на анкетираните участници се основава на публикуваната в индивидуалните и консолидирани  ГФО информация за периода 2009 г.-2011 г.</w:t>
      </w:r>
    </w:p>
    <w:p w:rsidR="00000000" w:rsidRDefault="003E498D">
      <w:pPr>
        <w:contextualSpacing/>
        <w:jc w:val="both"/>
        <w:rPr>
          <w:rFonts w:ascii="Times New Roman" w:hAnsi="Times New Roman"/>
          <w:sz w:val="26"/>
          <w:szCs w:val="26"/>
        </w:rPr>
      </w:pPr>
    </w:p>
    <w:p w:rsidR="00000000" w:rsidRDefault="003E498D">
      <w:pPr>
        <w:contextualSpacing/>
        <w:jc w:val="both"/>
        <w:rPr>
          <w:rFonts w:ascii="Times New Roman" w:hAnsi="Times New Roman"/>
          <w:sz w:val="26"/>
          <w:szCs w:val="26"/>
          <w:u w:val="single"/>
        </w:rPr>
      </w:pPr>
      <w:r>
        <w:rPr>
          <w:rFonts w:ascii="Times New Roman" w:hAnsi="Times New Roman"/>
          <w:sz w:val="26"/>
          <w:szCs w:val="26"/>
          <w:u w:val="single"/>
        </w:rPr>
        <w:t>Групи участници</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За целите на анализа на</w:t>
      </w:r>
      <w:r>
        <w:rPr>
          <w:rFonts w:ascii="Times New Roman" w:hAnsi="Times New Roman"/>
          <w:sz w:val="26"/>
          <w:szCs w:val="26"/>
        </w:rPr>
        <w:t xml:space="preserve"> конкурентната среда, Комисията изследва финансовите резултати на участниците във всяка категория според </w:t>
      </w:r>
      <w:r>
        <w:rPr>
          <w:rFonts w:ascii="Times New Roman" w:hAnsi="Times New Roman"/>
          <w:sz w:val="26"/>
          <w:szCs w:val="26"/>
        </w:rPr>
        <w:lastRenderedPageBreak/>
        <w:t>специализацията им и стойностите на гореописаните показатели за периода 2009г.-2011г.:</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4536"/>
      </w:tblGrid>
      <w:tr w:rsidR="00000000">
        <w:tc>
          <w:tcPr>
            <w:tcW w:w="5529" w:type="dxa"/>
          </w:tcPr>
          <w:p w:rsidR="00000000" w:rsidRDefault="003E498D">
            <w:pPr>
              <w:pStyle w:val="NoSpacing"/>
              <w:contextualSpacing/>
              <w:jc w:val="center"/>
              <w:rPr>
                <w:rFonts w:ascii="Times New Roman" w:hAnsi="Times New Roman"/>
                <w:b/>
              </w:rPr>
            </w:pPr>
            <w:r>
              <w:rPr>
                <w:rFonts w:ascii="Times New Roman" w:hAnsi="Times New Roman"/>
                <w:b/>
              </w:rPr>
              <w:t>Опериращи регионални транспортни маршрути</w:t>
            </w:r>
          </w:p>
        </w:tc>
        <w:tc>
          <w:tcPr>
            <w:tcW w:w="4536" w:type="dxa"/>
          </w:tcPr>
          <w:p w:rsidR="00000000" w:rsidRDefault="003E498D">
            <w:pPr>
              <w:pStyle w:val="NoSpacing"/>
              <w:contextualSpacing/>
              <w:jc w:val="center"/>
              <w:rPr>
                <w:rFonts w:ascii="Times New Roman" w:hAnsi="Times New Roman"/>
                <w:b/>
              </w:rPr>
            </w:pPr>
            <w:r>
              <w:rPr>
                <w:rFonts w:ascii="Times New Roman" w:hAnsi="Times New Roman"/>
                <w:b/>
              </w:rPr>
              <w:t>Опериращи в рамките на</w:t>
            </w:r>
            <w:r>
              <w:rPr>
                <w:rFonts w:ascii="Times New Roman" w:hAnsi="Times New Roman"/>
                <w:b/>
              </w:rPr>
              <w:t xml:space="preserve"> софийски регион</w:t>
            </w:r>
          </w:p>
        </w:tc>
      </w:tr>
      <w:tr w:rsidR="00000000">
        <w:tc>
          <w:tcPr>
            <w:tcW w:w="5529" w:type="dxa"/>
          </w:tcPr>
          <w:tbl>
            <w:tblPr>
              <w:tblW w:w="0" w:type="auto"/>
              <w:tblLayout w:type="fixed"/>
              <w:tblCellMar>
                <w:left w:w="70" w:type="dxa"/>
                <w:right w:w="70" w:type="dxa"/>
              </w:tblCellMar>
              <w:tblLook w:val="0000" w:firstRow="0" w:lastRow="0" w:firstColumn="0" w:lastColumn="0" w:noHBand="0" w:noVBand="0"/>
            </w:tblPr>
            <w:tblGrid>
              <w:gridCol w:w="5280"/>
            </w:tblGrid>
            <w:tr w:rsidR="00000000">
              <w:trPr>
                <w:trHeight w:val="255"/>
              </w:trPr>
              <w:tc>
                <w:tcPr>
                  <w:tcW w:w="5280" w:type="dxa"/>
                  <w:tcBorders>
                    <w:top w:val="single" w:sz="8" w:space="0" w:color="000000"/>
                    <w:left w:val="nil"/>
                    <w:bottom w:val="nil"/>
                    <w:right w:val="nil"/>
                  </w:tcBorders>
                  <w:shd w:val="clear" w:color="FFFFCC" w:fill="FFFFFF"/>
                  <w:vAlign w:val="bottom"/>
                </w:tcPr>
                <w:p w:rsidR="00000000" w:rsidRDefault="003E498D">
                  <w:pPr>
                    <w:pStyle w:val="NoSpacing"/>
                    <w:contextualSpacing/>
                    <w:rPr>
                      <w:rFonts w:ascii="Times New Roman" w:hAnsi="Times New Roman"/>
                    </w:rPr>
                  </w:pPr>
                  <w:r>
                    <w:rPr>
                      <w:rFonts w:ascii="Times New Roman" w:hAnsi="Times New Roman"/>
                    </w:rPr>
                    <w:t>„Национална дистрибуция“ ООД</w:t>
                  </w:r>
                </w:p>
              </w:tc>
            </w:tr>
            <w:tr w:rsidR="00000000">
              <w:trPr>
                <w:trHeight w:val="255"/>
              </w:trPr>
              <w:tc>
                <w:tcPr>
                  <w:tcW w:w="5280" w:type="dxa"/>
                  <w:tcBorders>
                    <w:top w:val="nil"/>
                    <w:left w:val="nil"/>
                    <w:bottom w:val="nil"/>
                    <w:right w:val="nil"/>
                  </w:tcBorders>
                  <w:shd w:val="clear" w:color="FFFFCC" w:fill="FFFFFF"/>
                  <w:vAlign w:val="bottom"/>
                </w:tcPr>
                <w:p w:rsidR="00000000" w:rsidRDefault="003E498D">
                  <w:pPr>
                    <w:pStyle w:val="NoSpacing"/>
                    <w:contextualSpacing/>
                    <w:rPr>
                      <w:rFonts w:ascii="Times New Roman" w:hAnsi="Times New Roman"/>
                    </w:rPr>
                  </w:pPr>
                  <w:r>
                    <w:rPr>
                      <w:rFonts w:ascii="Times New Roman" w:hAnsi="Times New Roman"/>
                    </w:rPr>
                    <w:t>„Булгарпрес“ ООД</w:t>
                  </w:r>
                </w:p>
              </w:tc>
            </w:tr>
            <w:tr w:rsidR="00000000">
              <w:trPr>
                <w:trHeight w:val="255"/>
              </w:trPr>
              <w:tc>
                <w:tcPr>
                  <w:tcW w:w="5280" w:type="dxa"/>
                  <w:tcBorders>
                    <w:top w:val="nil"/>
                    <w:left w:val="nil"/>
                    <w:bottom w:val="nil"/>
                    <w:right w:val="nil"/>
                  </w:tcBorders>
                  <w:shd w:val="clear" w:color="FFFFCC" w:fill="FFFFFF"/>
                  <w:vAlign w:val="bottom"/>
                </w:tcPr>
                <w:p w:rsidR="00000000" w:rsidRDefault="003E498D">
                  <w:pPr>
                    <w:pStyle w:val="NoSpacing"/>
                    <w:contextualSpacing/>
                    <w:rPr>
                      <w:rFonts w:ascii="Times New Roman" w:hAnsi="Times New Roman"/>
                    </w:rPr>
                  </w:pPr>
                  <w:r>
                    <w:rPr>
                      <w:rFonts w:ascii="Times New Roman" w:hAnsi="Times New Roman"/>
                    </w:rPr>
                    <w:t>„Агенция Стрела“ ЕООД</w:t>
                  </w:r>
                </w:p>
              </w:tc>
            </w:tr>
            <w:tr w:rsidR="00000000">
              <w:trPr>
                <w:trHeight w:val="255"/>
              </w:trPr>
              <w:tc>
                <w:tcPr>
                  <w:tcW w:w="5280" w:type="dxa"/>
                  <w:tcBorders>
                    <w:top w:val="nil"/>
                    <w:left w:val="nil"/>
                    <w:bottom w:val="nil"/>
                    <w:right w:val="nil"/>
                  </w:tcBorders>
                  <w:shd w:val="clear" w:color="FFFFCC" w:fill="FFFFFF"/>
                  <w:vAlign w:val="bottom"/>
                </w:tcPr>
                <w:p w:rsidR="00000000" w:rsidRDefault="003E498D">
                  <w:pPr>
                    <w:pStyle w:val="NoSpacing"/>
                    <w:contextualSpacing/>
                    <w:rPr>
                      <w:rFonts w:ascii="Times New Roman" w:hAnsi="Times New Roman"/>
                    </w:rPr>
                  </w:pPr>
                  <w:r>
                    <w:rPr>
                      <w:rFonts w:ascii="Times New Roman" w:hAnsi="Times New Roman"/>
                    </w:rPr>
                    <w:t>„Национална Агенция Разпространение“ ЕАД</w:t>
                  </w:r>
                </w:p>
              </w:tc>
            </w:tr>
            <w:tr w:rsidR="00000000">
              <w:trPr>
                <w:trHeight w:val="255"/>
              </w:trPr>
              <w:tc>
                <w:tcPr>
                  <w:tcW w:w="5280" w:type="dxa"/>
                  <w:tcBorders>
                    <w:top w:val="nil"/>
                    <w:left w:val="nil"/>
                    <w:bottom w:val="nil"/>
                    <w:right w:val="nil"/>
                  </w:tcBorders>
                  <w:shd w:val="clear" w:color="FFFFCC" w:fill="FFFFFF"/>
                  <w:vAlign w:val="bottom"/>
                </w:tcPr>
                <w:p w:rsidR="00000000" w:rsidRDefault="003E498D">
                  <w:pPr>
                    <w:pStyle w:val="NoSpacing"/>
                    <w:contextualSpacing/>
                    <w:rPr>
                      <w:rFonts w:ascii="Times New Roman" w:hAnsi="Times New Roman"/>
                    </w:rPr>
                  </w:pPr>
                  <w:r>
                    <w:rPr>
                      <w:rFonts w:ascii="Times New Roman" w:hAnsi="Times New Roman"/>
                    </w:rPr>
                    <w:t>„Прес“ ЕООД</w:t>
                  </w:r>
                </w:p>
              </w:tc>
            </w:tr>
            <w:tr w:rsidR="00000000">
              <w:trPr>
                <w:trHeight w:val="255"/>
              </w:trPr>
              <w:tc>
                <w:tcPr>
                  <w:tcW w:w="5280" w:type="dxa"/>
                  <w:tcBorders>
                    <w:top w:val="nil"/>
                    <w:left w:val="nil"/>
                    <w:bottom w:val="nil"/>
                    <w:right w:val="nil"/>
                  </w:tcBorders>
                  <w:shd w:val="clear" w:color="FFFFCC" w:fill="FFFFFF"/>
                  <w:vAlign w:val="bottom"/>
                </w:tcPr>
                <w:p w:rsidR="00000000" w:rsidRDefault="003E498D">
                  <w:pPr>
                    <w:pStyle w:val="NoSpacing"/>
                    <w:contextualSpacing/>
                    <w:rPr>
                      <w:rFonts w:ascii="Times New Roman" w:hAnsi="Times New Roman"/>
                    </w:rPr>
                  </w:pPr>
                  <w:r>
                    <w:rPr>
                      <w:rFonts w:ascii="Times New Roman" w:hAnsi="Times New Roman"/>
                    </w:rPr>
                    <w:t>„Прес 2000“ ЕООД</w:t>
                  </w:r>
                </w:p>
              </w:tc>
            </w:tr>
            <w:tr w:rsidR="00000000">
              <w:trPr>
                <w:trHeight w:val="255"/>
              </w:trPr>
              <w:tc>
                <w:tcPr>
                  <w:tcW w:w="5280" w:type="dxa"/>
                  <w:tcBorders>
                    <w:top w:val="nil"/>
                    <w:left w:val="nil"/>
                    <w:bottom w:val="nil"/>
                    <w:right w:val="nil"/>
                  </w:tcBorders>
                  <w:shd w:val="clear" w:color="FFFFCC" w:fill="FFFFFF"/>
                  <w:vAlign w:val="bottom"/>
                </w:tcPr>
                <w:p w:rsidR="00000000" w:rsidRDefault="003E498D">
                  <w:pPr>
                    <w:pStyle w:val="NoSpacing"/>
                    <w:contextualSpacing/>
                    <w:rPr>
                      <w:rFonts w:ascii="Times New Roman" w:hAnsi="Times New Roman"/>
                    </w:rPr>
                  </w:pPr>
                  <w:r>
                    <w:rPr>
                      <w:rFonts w:ascii="Times New Roman" w:hAnsi="Times New Roman"/>
                    </w:rPr>
                    <w:t>„Сенатор“ ООД</w:t>
                  </w:r>
                </w:p>
              </w:tc>
            </w:tr>
            <w:tr w:rsidR="00000000">
              <w:trPr>
                <w:trHeight w:val="255"/>
              </w:trPr>
              <w:tc>
                <w:tcPr>
                  <w:tcW w:w="5280" w:type="dxa"/>
                  <w:tcBorders>
                    <w:top w:val="nil"/>
                    <w:left w:val="nil"/>
                    <w:bottom w:val="nil"/>
                    <w:right w:val="nil"/>
                  </w:tcBorders>
                  <w:shd w:val="clear" w:color="FFFFCC" w:fill="FFFFFF"/>
                  <w:vAlign w:val="bottom"/>
                </w:tcPr>
                <w:p w:rsidR="00000000" w:rsidRDefault="003E498D">
                  <w:pPr>
                    <w:pStyle w:val="NoSpacing"/>
                    <w:contextualSpacing/>
                    <w:rPr>
                      <w:rFonts w:ascii="Times New Roman" w:hAnsi="Times New Roman"/>
                    </w:rPr>
                  </w:pPr>
                  <w:r>
                    <w:rPr>
                      <w:rFonts w:ascii="Times New Roman" w:hAnsi="Times New Roman"/>
                    </w:rPr>
                    <w:t>„Оларт“ ЕООД</w:t>
                  </w:r>
                </w:p>
              </w:tc>
            </w:tr>
            <w:tr w:rsidR="00000000">
              <w:trPr>
                <w:trHeight w:val="255"/>
              </w:trPr>
              <w:tc>
                <w:tcPr>
                  <w:tcW w:w="5280" w:type="dxa"/>
                  <w:tcBorders>
                    <w:top w:val="nil"/>
                    <w:left w:val="nil"/>
                    <w:bottom w:val="nil"/>
                    <w:right w:val="nil"/>
                  </w:tcBorders>
                  <w:shd w:val="clear" w:color="FFFFCC" w:fill="FFFFFF"/>
                  <w:vAlign w:val="bottom"/>
                </w:tcPr>
                <w:p w:rsidR="00000000" w:rsidRDefault="003E498D">
                  <w:pPr>
                    <w:pStyle w:val="NoSpacing"/>
                    <w:contextualSpacing/>
                    <w:rPr>
                      <w:rFonts w:ascii="Times New Roman" w:hAnsi="Times New Roman"/>
                    </w:rPr>
                  </w:pPr>
                  <w:r>
                    <w:rPr>
                      <w:rFonts w:ascii="Times New Roman" w:hAnsi="Times New Roman"/>
                    </w:rPr>
                    <w:t>„Братя Герини Прес“ ЕООД/Групата Герини</w:t>
                  </w:r>
                </w:p>
              </w:tc>
            </w:tr>
            <w:tr w:rsidR="00000000">
              <w:trPr>
                <w:trHeight w:val="270"/>
              </w:trPr>
              <w:tc>
                <w:tcPr>
                  <w:tcW w:w="5280" w:type="dxa"/>
                  <w:tcBorders>
                    <w:top w:val="nil"/>
                    <w:left w:val="nil"/>
                    <w:bottom w:val="nil"/>
                    <w:right w:val="nil"/>
                  </w:tcBorders>
                  <w:shd w:val="clear" w:color="FFFFCC" w:fill="FFFFFF"/>
                  <w:vAlign w:val="bottom"/>
                </w:tcPr>
                <w:p w:rsidR="00000000" w:rsidRDefault="003E498D">
                  <w:pPr>
                    <w:pStyle w:val="NoSpacing"/>
                    <w:contextualSpacing/>
                    <w:rPr>
                      <w:rFonts w:ascii="Times New Roman" w:hAnsi="Times New Roman"/>
                    </w:rPr>
                  </w:pPr>
                  <w:r>
                    <w:rPr>
                      <w:rFonts w:ascii="Times New Roman" w:hAnsi="Times New Roman"/>
                    </w:rPr>
                    <w:t>„Медика Прес“ ЕООД</w:t>
                  </w:r>
                </w:p>
              </w:tc>
            </w:tr>
          </w:tbl>
          <w:p w:rsidR="00000000" w:rsidRDefault="003E498D">
            <w:pPr>
              <w:pStyle w:val="NoSpacing"/>
              <w:contextualSpacing/>
              <w:rPr>
                <w:rFonts w:ascii="Times New Roman" w:hAnsi="Times New Roman"/>
              </w:rPr>
            </w:pPr>
          </w:p>
        </w:tc>
        <w:tc>
          <w:tcPr>
            <w:tcW w:w="4536" w:type="dxa"/>
          </w:tcPr>
          <w:tbl>
            <w:tblPr>
              <w:tblW w:w="0" w:type="auto"/>
              <w:tblLayout w:type="fixed"/>
              <w:tblCellMar>
                <w:left w:w="70" w:type="dxa"/>
                <w:right w:w="70" w:type="dxa"/>
              </w:tblCellMar>
              <w:tblLook w:val="0000" w:firstRow="0" w:lastRow="0" w:firstColumn="0" w:lastColumn="0" w:noHBand="0" w:noVBand="0"/>
            </w:tblPr>
            <w:tblGrid>
              <w:gridCol w:w="4287"/>
            </w:tblGrid>
            <w:tr w:rsidR="00000000">
              <w:trPr>
                <w:trHeight w:val="255"/>
              </w:trPr>
              <w:tc>
                <w:tcPr>
                  <w:tcW w:w="4287" w:type="dxa"/>
                  <w:tcBorders>
                    <w:top w:val="nil"/>
                    <w:left w:val="nil"/>
                    <w:bottom w:val="nil"/>
                    <w:right w:val="nil"/>
                  </w:tcBorders>
                  <w:shd w:val="clear" w:color="000000" w:fill="FFFFFF"/>
                  <w:vAlign w:val="bottom"/>
                </w:tcPr>
                <w:p w:rsidR="00000000" w:rsidRDefault="003E498D">
                  <w:pPr>
                    <w:pStyle w:val="NoSpacing"/>
                    <w:contextualSpacing/>
                    <w:rPr>
                      <w:rFonts w:ascii="Times New Roman" w:hAnsi="Times New Roman"/>
                    </w:rPr>
                  </w:pPr>
                  <w:r>
                    <w:rPr>
                      <w:rFonts w:ascii="Times New Roman" w:hAnsi="Times New Roman"/>
                    </w:rPr>
                    <w:t>„Ме</w:t>
                  </w:r>
                  <w:r>
                    <w:rPr>
                      <w:rFonts w:ascii="Times New Roman" w:hAnsi="Times New Roman"/>
                    </w:rPr>
                    <w:t>лао“ ЕООД</w:t>
                  </w:r>
                </w:p>
              </w:tc>
            </w:tr>
            <w:tr w:rsidR="00000000">
              <w:trPr>
                <w:trHeight w:val="255"/>
              </w:trPr>
              <w:tc>
                <w:tcPr>
                  <w:tcW w:w="4287" w:type="dxa"/>
                  <w:tcBorders>
                    <w:top w:val="nil"/>
                    <w:left w:val="nil"/>
                    <w:bottom w:val="nil"/>
                    <w:right w:val="nil"/>
                  </w:tcBorders>
                  <w:shd w:val="clear" w:color="000000" w:fill="FFFFFF"/>
                  <w:vAlign w:val="bottom"/>
                </w:tcPr>
                <w:p w:rsidR="00000000" w:rsidRDefault="003E498D">
                  <w:pPr>
                    <w:pStyle w:val="NoSpacing"/>
                    <w:contextualSpacing/>
                    <w:rPr>
                      <w:rFonts w:ascii="Times New Roman" w:hAnsi="Times New Roman"/>
                    </w:rPr>
                  </w:pPr>
                  <w:r>
                    <w:rPr>
                      <w:rFonts w:ascii="Times New Roman" w:hAnsi="Times New Roman"/>
                    </w:rPr>
                    <w:t>„Бояна – 97“ ЕООД</w:t>
                  </w:r>
                </w:p>
              </w:tc>
            </w:tr>
            <w:tr w:rsidR="00000000">
              <w:trPr>
                <w:trHeight w:val="255"/>
              </w:trPr>
              <w:tc>
                <w:tcPr>
                  <w:tcW w:w="4287" w:type="dxa"/>
                  <w:tcBorders>
                    <w:top w:val="nil"/>
                    <w:left w:val="nil"/>
                    <w:bottom w:val="nil"/>
                    <w:right w:val="nil"/>
                  </w:tcBorders>
                  <w:shd w:val="clear" w:color="000000" w:fill="FFFFFF"/>
                  <w:vAlign w:val="bottom"/>
                </w:tcPr>
                <w:p w:rsidR="00000000" w:rsidRDefault="003E498D">
                  <w:pPr>
                    <w:pStyle w:val="NoSpacing"/>
                    <w:contextualSpacing/>
                    <w:rPr>
                      <w:rFonts w:ascii="Times New Roman" w:hAnsi="Times New Roman"/>
                    </w:rPr>
                  </w:pPr>
                  <w:r>
                    <w:rPr>
                      <w:rFonts w:ascii="Times New Roman" w:hAnsi="Times New Roman"/>
                    </w:rPr>
                    <w:t>„ЕТ Тони – ДВ Цветанка Иванова“</w:t>
                  </w:r>
                </w:p>
              </w:tc>
            </w:tr>
            <w:tr w:rsidR="00000000">
              <w:trPr>
                <w:trHeight w:val="255"/>
              </w:trPr>
              <w:tc>
                <w:tcPr>
                  <w:tcW w:w="4287" w:type="dxa"/>
                  <w:tcBorders>
                    <w:top w:val="nil"/>
                    <w:left w:val="nil"/>
                    <w:bottom w:val="nil"/>
                    <w:right w:val="nil"/>
                  </w:tcBorders>
                  <w:shd w:val="clear" w:color="000000" w:fill="FFFFFF"/>
                  <w:vAlign w:val="bottom"/>
                </w:tcPr>
                <w:p w:rsidR="00000000" w:rsidRDefault="003E498D">
                  <w:pPr>
                    <w:pStyle w:val="NoSpacing"/>
                    <w:contextualSpacing/>
                    <w:rPr>
                      <w:rFonts w:ascii="Times New Roman" w:hAnsi="Times New Roman"/>
                    </w:rPr>
                  </w:pPr>
                  <w:r>
                    <w:rPr>
                      <w:rFonts w:ascii="Times New Roman" w:hAnsi="Times New Roman"/>
                    </w:rPr>
                    <w:t>„Разпространение на печата“ АД</w:t>
                  </w:r>
                </w:p>
              </w:tc>
            </w:tr>
            <w:tr w:rsidR="00000000">
              <w:trPr>
                <w:trHeight w:val="270"/>
              </w:trPr>
              <w:tc>
                <w:tcPr>
                  <w:tcW w:w="4287" w:type="dxa"/>
                  <w:tcBorders>
                    <w:top w:val="nil"/>
                    <w:left w:val="nil"/>
                    <w:bottom w:val="nil"/>
                    <w:right w:val="nil"/>
                  </w:tcBorders>
                  <w:shd w:val="clear" w:color="000000" w:fill="FFFFFF"/>
                  <w:vAlign w:val="bottom"/>
                </w:tcPr>
                <w:p w:rsidR="00000000" w:rsidRDefault="003E498D">
                  <w:pPr>
                    <w:pStyle w:val="NoSpacing"/>
                    <w:contextualSpacing/>
                    <w:rPr>
                      <w:rFonts w:ascii="Times New Roman" w:hAnsi="Times New Roman"/>
                    </w:rPr>
                  </w:pPr>
                  <w:r>
                    <w:rPr>
                      <w:rFonts w:ascii="Times New Roman" w:hAnsi="Times New Roman"/>
                    </w:rPr>
                    <w:t>„АКС Трейдинг“ ООД</w:t>
                  </w:r>
                </w:p>
              </w:tc>
            </w:tr>
          </w:tbl>
          <w:p w:rsidR="00000000" w:rsidRDefault="003E498D">
            <w:pPr>
              <w:pStyle w:val="NoSpacing"/>
              <w:contextualSpacing/>
              <w:rPr>
                <w:rFonts w:ascii="Times New Roman" w:hAnsi="Times New Roman"/>
              </w:rPr>
            </w:pPr>
          </w:p>
        </w:tc>
      </w:tr>
    </w:tbl>
    <w:p w:rsidR="00000000" w:rsidRDefault="003E498D">
      <w:pPr>
        <w:contextualSpacing/>
        <w:rPr>
          <w:rFonts w:ascii="Times New Roman" w:eastAsia="Times New Roman" w:hAnsi="Times New Roman"/>
          <w:bCs/>
          <w:i/>
          <w:sz w:val="26"/>
          <w:szCs w:val="26"/>
          <w:u w:val="single"/>
        </w:rPr>
      </w:pPr>
    </w:p>
    <w:p w:rsidR="00000000" w:rsidRDefault="003E498D">
      <w:pPr>
        <w:contextualSpacing/>
        <w:rPr>
          <w:rFonts w:ascii="Times New Roman" w:hAnsi="Times New Roman"/>
          <w:i/>
          <w:sz w:val="26"/>
          <w:szCs w:val="26"/>
          <w:lang w:val="en-US"/>
        </w:rPr>
      </w:pPr>
      <w:r>
        <w:rPr>
          <w:rFonts w:ascii="Times New Roman" w:eastAsia="Times New Roman" w:hAnsi="Times New Roman"/>
          <w:bCs/>
          <w:i/>
          <w:sz w:val="26"/>
          <w:szCs w:val="26"/>
          <w:u w:val="single"/>
        </w:rPr>
        <w:t>Опериращи регионални транспортни маршрути</w:t>
      </w:r>
    </w:p>
    <w:p w:rsidR="00000000" w:rsidRDefault="003E498D">
      <w:pPr>
        <w:pStyle w:val="Heading3"/>
        <w:numPr>
          <w:ilvl w:val="0"/>
          <w:numId w:val="3"/>
        </w:numPr>
        <w:contextualSpacing/>
        <w:jc w:val="both"/>
        <w:rPr>
          <w:b w:val="0"/>
          <w:sz w:val="26"/>
          <w:szCs w:val="26"/>
        </w:rPr>
      </w:pPr>
      <w:r>
        <w:rPr>
          <w:sz w:val="26"/>
          <w:szCs w:val="26"/>
          <w:u w:val="none"/>
        </w:rPr>
        <w:t>Приходи от разпространение на печатни издания към общите оперативни приходи</w:t>
      </w:r>
    </w:p>
    <w:p w:rsidR="00000000" w:rsidRDefault="003E498D">
      <w:pPr>
        <w:ind w:firstLine="360"/>
        <w:contextualSpacing/>
        <w:jc w:val="both"/>
        <w:rPr>
          <w:rFonts w:ascii="Times New Roman" w:hAnsi="Times New Roman"/>
          <w:sz w:val="26"/>
          <w:szCs w:val="26"/>
          <w:lang w:val="en-US"/>
        </w:rPr>
      </w:pPr>
      <w:r>
        <w:rPr>
          <w:rFonts w:ascii="Times New Roman" w:hAnsi="Times New Roman"/>
          <w:sz w:val="26"/>
          <w:szCs w:val="26"/>
        </w:rPr>
        <w:t>За периода средно пр</w:t>
      </w:r>
      <w:r>
        <w:rPr>
          <w:rFonts w:ascii="Times New Roman" w:hAnsi="Times New Roman"/>
          <w:sz w:val="26"/>
          <w:szCs w:val="26"/>
        </w:rPr>
        <w:t xml:space="preserve">иходите от разпространение на печатни издания представляват приблизително 97% от общите приходи от оперативна дейност, което е показателно, че </w:t>
      </w:r>
      <w:r>
        <w:rPr>
          <w:rFonts w:ascii="Times New Roman" w:hAnsi="Times New Roman"/>
          <w:b/>
          <w:sz w:val="26"/>
          <w:szCs w:val="26"/>
        </w:rPr>
        <w:t>това е и основната дейност на дружествата участници</w:t>
      </w:r>
      <w:r>
        <w:rPr>
          <w:rFonts w:ascii="Times New Roman" w:hAnsi="Times New Roman"/>
          <w:sz w:val="26"/>
          <w:szCs w:val="26"/>
        </w:rPr>
        <w:t xml:space="preserve">. Минималните стойности на съотношението са над 90% за 2009г. </w:t>
      </w:r>
      <w:r>
        <w:rPr>
          <w:rFonts w:ascii="Times New Roman" w:hAnsi="Times New Roman"/>
          <w:sz w:val="26"/>
          <w:szCs w:val="26"/>
        </w:rPr>
        <w:t>и 2010г., но за 2011г., те отчитат спад до 84% (от страна на „Агенция Стрела” ЕООД). За други, основната дейност покрива 100% от приходите (2 участника през 2009г. и 2011г. и 1 през 2010г.). (Приложение № 6)</w:t>
      </w:r>
    </w:p>
    <w:tbl>
      <w:tblPr>
        <w:tblW w:w="0" w:type="auto"/>
        <w:tblLayout w:type="fixed"/>
        <w:tblLook w:val="0000" w:firstRow="0" w:lastRow="0" w:firstColumn="0" w:lastColumn="0" w:noHBand="0" w:noVBand="0"/>
      </w:tblPr>
      <w:tblGrid>
        <w:gridCol w:w="9212"/>
      </w:tblGrid>
      <w:tr w:rsidR="00000000">
        <w:tc>
          <w:tcPr>
            <w:tcW w:w="9212" w:type="dxa"/>
          </w:tcPr>
          <w:p w:rsidR="00000000" w:rsidRDefault="003E498D">
            <w:pPr>
              <w:contextualSpacing/>
              <w:jc w:val="right"/>
              <w:rPr>
                <w:rFonts w:ascii="Times New Roman" w:hAnsi="Times New Roman"/>
                <w:sz w:val="26"/>
                <w:szCs w:val="26"/>
              </w:rPr>
            </w:pPr>
          </w:p>
          <w:p w:rsidR="00000000" w:rsidRDefault="003E498D">
            <w:pPr>
              <w:contextualSpacing/>
              <w:jc w:val="right"/>
              <w:rPr>
                <w:rFonts w:ascii="Times New Roman" w:hAnsi="Times New Roman"/>
                <w:sz w:val="26"/>
                <w:szCs w:val="26"/>
              </w:rPr>
            </w:pPr>
          </w:p>
          <w:p w:rsidR="00000000" w:rsidRDefault="003E498D">
            <w:pPr>
              <w:contextualSpacing/>
              <w:jc w:val="right"/>
              <w:rPr>
                <w:rFonts w:ascii="Times New Roman" w:hAnsi="Times New Roman"/>
                <w:sz w:val="26"/>
                <w:szCs w:val="26"/>
              </w:rPr>
            </w:pPr>
            <w:r>
              <w:rPr>
                <w:rFonts w:ascii="Times New Roman" w:hAnsi="Times New Roman"/>
                <w:sz w:val="26"/>
                <w:szCs w:val="26"/>
              </w:rPr>
              <w:t>Графика № 6</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8085" w:dyaOrig="3961">
                <v:shape id="_x0000_i1038" type="#_x0000_t75" style="width:265.5pt;height:130.5pt;mso-wrap-style:square;mso-position-horizontal-relative:page;mso-position-vertical-relative:page" o:ole="">
                  <v:imagedata r:id="rId35" o:title=""/>
                </v:shape>
                <o:OLEObject Type="Embed" ProgID="PBrush" ShapeID="_x0000_i1038" DrawAspect="Content" ObjectID="_1448021975" r:id="rId36"/>
              </w:object>
            </w:r>
          </w:p>
        </w:tc>
      </w:tr>
    </w:tbl>
    <w:p w:rsidR="00000000" w:rsidRDefault="003E498D">
      <w:pPr>
        <w:contextualSpacing/>
        <w:rPr>
          <w:rFonts w:ascii="Times New Roman" w:hAnsi="Times New Roman"/>
          <w:sz w:val="26"/>
          <w:szCs w:val="26"/>
        </w:rPr>
      </w:pPr>
      <w:r>
        <w:rPr>
          <w:rFonts w:ascii="Times New Roman" w:hAnsi="Times New Roman"/>
          <w:sz w:val="26"/>
          <w:szCs w:val="26"/>
        </w:rPr>
        <w:t xml:space="preserve">  </w:t>
      </w:r>
    </w:p>
    <w:p w:rsidR="00000000" w:rsidRDefault="003E498D">
      <w:pPr>
        <w:contextualSpacing/>
        <w:rPr>
          <w:rFonts w:ascii="Times New Roman" w:hAnsi="Times New Roman"/>
          <w:b/>
          <w:sz w:val="26"/>
          <w:szCs w:val="26"/>
        </w:rPr>
      </w:pPr>
      <w:r>
        <w:rPr>
          <w:rFonts w:ascii="Times New Roman" w:hAnsi="Times New Roman"/>
          <w:b/>
          <w:sz w:val="26"/>
          <w:szCs w:val="26"/>
        </w:rPr>
        <w:t xml:space="preserve">2) Промяна </w:t>
      </w:r>
      <w:r>
        <w:rPr>
          <w:rFonts w:ascii="Times New Roman" w:hAnsi="Times New Roman"/>
          <w:b/>
          <w:sz w:val="26"/>
          <w:szCs w:val="26"/>
        </w:rPr>
        <w:t>на нетните приходи от разпространение на печатни издания</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Този показател търпи съществена промяна, като максималното увеличаване на приходите от разпространение на печатни издания през 2010 г., спрямо предходната година е 104 %, реализирано от „Национална д</w:t>
      </w:r>
      <w:r>
        <w:rPr>
          <w:rFonts w:ascii="Times New Roman" w:hAnsi="Times New Roman"/>
          <w:sz w:val="26"/>
          <w:szCs w:val="26"/>
        </w:rPr>
        <w:t>истрибуция“ ООД. През 2011г. всички участници (без „Оларт“ ЕООД) отчитат намаление на приходите от разпространение в границите от -3% до -28%. Комисията счита, че тези промени са в контекста на влошената икономическа обстановка, водеща до свиване на търсен</w:t>
      </w:r>
      <w:r>
        <w:rPr>
          <w:rFonts w:ascii="Times New Roman" w:hAnsi="Times New Roman"/>
          <w:sz w:val="26"/>
          <w:szCs w:val="26"/>
        </w:rPr>
        <w:t xml:space="preserve">ето на печатни издания.  </w:t>
      </w:r>
    </w:p>
    <w:p w:rsidR="00000000" w:rsidRDefault="003E498D">
      <w:pPr>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 xml:space="preserve">За периода единствено при „Оларт“ ЕООД е налице и то съществено увеличаване на приходите от разпространение на печатни издания и затова неговите данни ще бъдат коментирани отделно. През 2009 г. дружеството е </w:t>
      </w:r>
      <w:r>
        <w:rPr>
          <w:rFonts w:ascii="Times New Roman" w:hAnsi="Times New Roman"/>
          <w:sz w:val="26"/>
          <w:szCs w:val="26"/>
        </w:rPr>
        <w:lastRenderedPageBreak/>
        <w:t>отчело приходи в разм</w:t>
      </w:r>
      <w:r>
        <w:rPr>
          <w:rFonts w:ascii="Times New Roman" w:hAnsi="Times New Roman"/>
          <w:sz w:val="26"/>
          <w:szCs w:val="26"/>
        </w:rPr>
        <w:t>ер на 549 хил. лв., през 2010 г. те достигат до 6 749 хил. лв., а през 2011 г. – 7 823 хил. лв. , тъй като годишната промяна за 2010г. е 1 129%, то тя неминуемо би изкривила резултатите общо за групата, ако бъде отчетена. (Приложение № 6)</w:t>
      </w:r>
    </w:p>
    <w:tbl>
      <w:tblPr>
        <w:tblW w:w="0" w:type="auto"/>
        <w:tblLayout w:type="fixed"/>
        <w:tblLook w:val="0000" w:firstRow="0" w:lastRow="0" w:firstColumn="0" w:lastColumn="0" w:noHBand="0" w:noVBand="0"/>
      </w:tblPr>
      <w:tblGrid>
        <w:gridCol w:w="9212"/>
      </w:tblGrid>
      <w:tr w:rsidR="00000000">
        <w:tc>
          <w:tcPr>
            <w:tcW w:w="9212" w:type="dxa"/>
          </w:tcPr>
          <w:p w:rsidR="00000000" w:rsidRDefault="003E498D">
            <w:pPr>
              <w:contextualSpacing/>
              <w:jc w:val="right"/>
              <w:rPr>
                <w:rFonts w:ascii="Times New Roman" w:hAnsi="Times New Roman"/>
                <w:sz w:val="26"/>
                <w:szCs w:val="26"/>
              </w:rPr>
            </w:pPr>
            <w:r>
              <w:rPr>
                <w:rFonts w:ascii="Times New Roman" w:hAnsi="Times New Roman"/>
                <w:sz w:val="26"/>
                <w:szCs w:val="26"/>
              </w:rPr>
              <w:t>Графика № 7</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6412" w:dyaOrig="2730">
                <v:shape id="_x0000_i1039" type="#_x0000_t75" style="width:294pt;height:125.25pt;mso-wrap-style:square;mso-position-horizontal-relative:page;mso-position-vertical-relative:page" o:ole="">
                  <v:imagedata r:id="rId37" o:title=""/>
                </v:shape>
                <o:OLEObject Type="Embed" ProgID="PBrush" ShapeID="_x0000_i1039" DrawAspect="Content" ObjectID="_1448021976" r:id="rId38"/>
              </w:object>
            </w:r>
          </w:p>
        </w:tc>
      </w:tr>
    </w:tbl>
    <w:p w:rsidR="00000000" w:rsidRDefault="003E498D">
      <w:pPr>
        <w:contextualSpacing/>
        <w:rPr>
          <w:rFonts w:ascii="Times New Roman" w:hAnsi="Times New Roman"/>
          <w:b/>
          <w:sz w:val="26"/>
          <w:szCs w:val="26"/>
        </w:rPr>
      </w:pPr>
    </w:p>
    <w:p w:rsidR="00000000" w:rsidRDefault="003E498D">
      <w:pPr>
        <w:contextualSpacing/>
        <w:rPr>
          <w:rFonts w:ascii="Times New Roman" w:hAnsi="Times New Roman"/>
          <w:b/>
          <w:sz w:val="26"/>
          <w:szCs w:val="26"/>
        </w:rPr>
      </w:pPr>
      <w:r>
        <w:rPr>
          <w:rFonts w:ascii="Times New Roman" w:hAnsi="Times New Roman"/>
          <w:b/>
          <w:sz w:val="26"/>
          <w:szCs w:val="26"/>
        </w:rPr>
        <w:t>3) Промяна на общите разходи от оперативна дейност</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Този показател търпи съществена промяна, с подобни на предходния нива, тъй като стойността на закупените издания съставлява основна част от общите оперативни разходи.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Участниците посочват </w:t>
      </w:r>
      <w:r>
        <w:rPr>
          <w:rFonts w:ascii="Times New Roman" w:hAnsi="Times New Roman"/>
          <w:sz w:val="26"/>
          <w:szCs w:val="26"/>
        </w:rPr>
        <w:t>като основни оперативни разходи, свързани с извършването на дейността по разпространение на печатните издания, тези за: заплати и осигуровки на персонала; транспорт /гориво, поддръжка на автопарка/; софтуер, наеми за офис и складове; консумативи и оборудва</w:t>
      </w:r>
      <w:r>
        <w:rPr>
          <w:rFonts w:ascii="Times New Roman" w:hAnsi="Times New Roman"/>
          <w:sz w:val="26"/>
          <w:szCs w:val="26"/>
        </w:rPr>
        <w:t>не. В своите отговори до Комисията разпространителите заявяват, че най-голям дял формират разходите за заплати и осигуровки (75-80 % спрямо общо извършените разходи), а на второ място са тези за външни услуги (наеми и др.). Налице е повишаване на транспорт</w:t>
      </w:r>
      <w:r>
        <w:rPr>
          <w:rFonts w:ascii="Times New Roman" w:hAnsi="Times New Roman"/>
          <w:sz w:val="26"/>
          <w:szCs w:val="26"/>
        </w:rPr>
        <w:t>ните разходи, поради повишаване цените на горивата, а също така и на разходите за осигуровки поради покачване на осигурителните прагове. В допълнение Група Герини посочва като разходно  перо и това за осъществяване на търговия на дребно на печатните издани</w:t>
      </w:r>
      <w:r>
        <w:rPr>
          <w:rFonts w:ascii="Times New Roman" w:hAnsi="Times New Roman"/>
          <w:sz w:val="26"/>
          <w:szCs w:val="26"/>
        </w:rPr>
        <w:t>я, свързани с освежаване или цялостна подмяна на павилионите.</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За 2010г. най-голяма увеличение на разходите от 103% се отчита при „Национална Дистрибуция”ООД, докато при „Прес” ЕООД се наблюдава свиване с близо едно трета, спрямо 2009г. За 2011г. обаче, тен</w:t>
      </w:r>
      <w:r>
        <w:rPr>
          <w:rFonts w:ascii="Times New Roman" w:hAnsi="Times New Roman"/>
          <w:sz w:val="26"/>
          <w:szCs w:val="26"/>
        </w:rPr>
        <w:t xml:space="preserve">денцията е в посока намаляване, като единствено „Агенция Стрела” ЕООД отчита увеличаване в рамките на 5%.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Отделно от групата „Оларт” ЕООД отчита пропорционално увеличаване на разходите спрямо коментираните по-горе приходи на дружеството, съответно със сто</w:t>
      </w:r>
      <w:r>
        <w:rPr>
          <w:rFonts w:ascii="Times New Roman" w:hAnsi="Times New Roman"/>
          <w:sz w:val="26"/>
          <w:szCs w:val="26"/>
        </w:rPr>
        <w:t>йности от 1129% за 2010г. и 14% за 2011г. (Приложение № 6).</w:t>
      </w:r>
    </w:p>
    <w:tbl>
      <w:tblPr>
        <w:tblW w:w="0" w:type="auto"/>
        <w:tblLayout w:type="fixed"/>
        <w:tblLook w:val="0000" w:firstRow="0" w:lastRow="0" w:firstColumn="0" w:lastColumn="0" w:noHBand="0" w:noVBand="0"/>
      </w:tblPr>
      <w:tblGrid>
        <w:gridCol w:w="9212"/>
      </w:tblGrid>
      <w:tr w:rsidR="00000000">
        <w:trPr>
          <w:trHeight w:val="2949"/>
        </w:trPr>
        <w:tc>
          <w:tcPr>
            <w:tcW w:w="9212" w:type="dxa"/>
          </w:tcPr>
          <w:p w:rsidR="00000000" w:rsidRDefault="003E498D">
            <w:pPr>
              <w:contextualSpacing/>
              <w:jc w:val="right"/>
              <w:rPr>
                <w:rFonts w:ascii="Times New Roman" w:hAnsi="Times New Roman"/>
                <w:sz w:val="26"/>
                <w:szCs w:val="26"/>
              </w:rPr>
            </w:pPr>
            <w:r>
              <w:rPr>
                <w:rFonts w:ascii="Times New Roman" w:hAnsi="Times New Roman"/>
                <w:sz w:val="26"/>
                <w:szCs w:val="26"/>
              </w:rPr>
              <w:lastRenderedPageBreak/>
              <w:t>Графика № 8</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8713" w:dyaOrig="3810">
                <v:shape id="_x0000_i1040" type="#_x0000_t75" style="width:302.25pt;height:132pt;mso-wrap-style:square;mso-position-horizontal-relative:page;mso-position-vertical-relative:page" o:ole="">
                  <v:imagedata r:id="rId39" o:title=""/>
                </v:shape>
                <o:OLEObject Type="Embed" ProgID="PBrush" ShapeID="_x0000_i1040" DrawAspect="Content" ObjectID="_1448021977" r:id="rId40"/>
              </w:object>
            </w:r>
          </w:p>
        </w:tc>
      </w:tr>
    </w:tbl>
    <w:p w:rsidR="00000000" w:rsidRDefault="003E498D">
      <w:pPr>
        <w:contextualSpacing/>
        <w:jc w:val="both"/>
        <w:rPr>
          <w:rFonts w:ascii="Times New Roman" w:hAnsi="Times New Roman"/>
          <w:sz w:val="26"/>
          <w:szCs w:val="26"/>
        </w:rPr>
      </w:pPr>
    </w:p>
    <w:p w:rsidR="00000000" w:rsidRDefault="003E498D">
      <w:pPr>
        <w:contextualSpacing/>
        <w:jc w:val="both"/>
        <w:rPr>
          <w:rFonts w:ascii="Times New Roman" w:hAnsi="Times New Roman"/>
          <w:sz w:val="26"/>
          <w:szCs w:val="26"/>
        </w:rPr>
      </w:pPr>
      <w:r>
        <w:rPr>
          <w:rFonts w:ascii="Times New Roman" w:hAnsi="Times New Roman"/>
          <w:b/>
          <w:sz w:val="26"/>
          <w:szCs w:val="26"/>
        </w:rPr>
        <w:t>4)</w:t>
      </w:r>
      <w:r>
        <w:rPr>
          <w:rFonts w:ascii="Times New Roman" w:hAnsi="Times New Roman"/>
          <w:sz w:val="26"/>
          <w:szCs w:val="26"/>
        </w:rPr>
        <w:t xml:space="preserve"> </w:t>
      </w:r>
      <w:r>
        <w:rPr>
          <w:rFonts w:ascii="Times New Roman" w:hAnsi="Times New Roman"/>
          <w:b/>
          <w:sz w:val="26"/>
          <w:szCs w:val="26"/>
        </w:rPr>
        <w:t>Промяна в нетна печалба/загуба</w:t>
      </w:r>
      <w:r>
        <w:rPr>
          <w:rFonts w:ascii="Times New Roman" w:hAnsi="Times New Roman"/>
          <w:sz w:val="26"/>
          <w:szCs w:val="26"/>
        </w:rPr>
        <w:t xml:space="preserve"> следва да проследи крайния финансов резултат на участниците и възможностите им за развитие. За 2009г. „Булгарпрес“ ООД реализира </w:t>
      </w:r>
      <w:r>
        <w:rPr>
          <w:rFonts w:ascii="Times New Roman" w:hAnsi="Times New Roman"/>
          <w:sz w:val="26"/>
          <w:szCs w:val="26"/>
        </w:rPr>
        <w:t xml:space="preserve">най-висока нетна печалба от 268 хил.лв, следвано от „Национална Агенция Разпространение“ ЕАД, а по отношение на загубите, най-голяма загуба от  1305 хил.лв реализира „Агенция Стрела“ ЕООД.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През 2010г. „Агенция Стрела“ ЕООД отчита положителен финансов резу</w:t>
      </w:r>
      <w:r>
        <w:rPr>
          <w:rFonts w:ascii="Times New Roman" w:hAnsi="Times New Roman"/>
          <w:sz w:val="26"/>
          <w:szCs w:val="26"/>
        </w:rPr>
        <w:t xml:space="preserve">лтат с нетна печалба от 279 хил.лв, а с най-голяма нетна загуба е „Оларт“ ЕООД. За 2011г. „Национална Агенция Разпространение“ ЕАД има най-висока печалба в групата с 1 358 хил.лв, а участникът с най-ниски нетни резултати е отново „Оларт“ ЕООД. (Приложение </w:t>
      </w:r>
      <w:r>
        <w:rPr>
          <w:rFonts w:ascii="Times New Roman" w:hAnsi="Times New Roman"/>
          <w:sz w:val="26"/>
          <w:szCs w:val="26"/>
        </w:rPr>
        <w:t>№ 6).</w:t>
      </w:r>
    </w:p>
    <w:tbl>
      <w:tblPr>
        <w:tblW w:w="0" w:type="auto"/>
        <w:jc w:val="center"/>
        <w:tblLayout w:type="fixed"/>
        <w:tblCellMar>
          <w:left w:w="70" w:type="dxa"/>
          <w:right w:w="70" w:type="dxa"/>
        </w:tblCellMar>
        <w:tblLook w:val="0000" w:firstRow="0" w:lastRow="0" w:firstColumn="0" w:lastColumn="0" w:noHBand="0" w:noVBand="0"/>
      </w:tblPr>
      <w:tblGrid>
        <w:gridCol w:w="11097"/>
      </w:tblGrid>
      <w:tr w:rsidR="00000000">
        <w:trPr>
          <w:trHeight w:val="3249"/>
          <w:jc w:val="center"/>
        </w:trPr>
        <w:tc>
          <w:tcPr>
            <w:tcW w:w="11097" w:type="dxa"/>
          </w:tcPr>
          <w:p w:rsidR="00000000" w:rsidRDefault="003E498D">
            <w:pPr>
              <w:contextualSpacing/>
              <w:jc w:val="right"/>
              <w:rPr>
                <w:rFonts w:ascii="Times New Roman" w:hAnsi="Times New Roman"/>
                <w:sz w:val="26"/>
                <w:szCs w:val="26"/>
              </w:rPr>
            </w:pPr>
            <w:r>
              <w:rPr>
                <w:rFonts w:ascii="Times New Roman" w:hAnsi="Times New Roman"/>
                <w:sz w:val="26"/>
                <w:szCs w:val="26"/>
              </w:rPr>
              <w:t>Графика № 9</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15675" w:dyaOrig="3645">
                <v:shape id="_x0000_i1041" type="#_x0000_t75" style="width:547.5pt;height:138pt;mso-wrap-style:square;mso-position-horizontal-relative:page;mso-position-vertical-relative:page" o:ole="">
                  <v:imagedata r:id="rId41" o:title=""/>
                </v:shape>
                <o:OLEObject Type="Embed" ProgID="PBrush" ShapeID="_x0000_i1041" DrawAspect="Content" ObjectID="_1448021978" r:id="rId42"/>
              </w:object>
            </w:r>
          </w:p>
        </w:tc>
      </w:tr>
    </w:tbl>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Комисията установи, че от началото на разглеждания период броят на дружествата, отчели нетна загуба, нараства с по едно всяка година (Приложение № 6), както следва:</w:t>
      </w:r>
    </w:p>
    <w:tbl>
      <w:tblPr>
        <w:tblW w:w="0" w:type="auto"/>
        <w:tblLayout w:type="fixed"/>
        <w:tblLook w:val="0000" w:firstRow="0" w:lastRow="0" w:firstColumn="0" w:lastColumn="0" w:noHBand="0" w:noVBand="0"/>
      </w:tblPr>
      <w:tblGrid>
        <w:gridCol w:w="9212"/>
      </w:tblGrid>
      <w:tr w:rsidR="00000000">
        <w:tc>
          <w:tcPr>
            <w:tcW w:w="9212" w:type="dxa"/>
          </w:tcPr>
          <w:p w:rsidR="00000000" w:rsidRDefault="003E498D">
            <w:pPr>
              <w:contextualSpacing/>
              <w:jc w:val="right"/>
              <w:rPr>
                <w:rFonts w:ascii="Times New Roman" w:hAnsi="Times New Roman"/>
                <w:sz w:val="26"/>
                <w:szCs w:val="26"/>
              </w:rPr>
            </w:pPr>
            <w:r>
              <w:rPr>
                <w:rFonts w:ascii="Times New Roman" w:hAnsi="Times New Roman"/>
                <w:sz w:val="26"/>
                <w:szCs w:val="26"/>
              </w:rPr>
              <w:t>Графика № 10</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6218" w:dyaOrig="3785">
                <v:shape id="_x0000_i1042" type="#_x0000_t75" style="width:216.75pt;height:131.25pt;mso-wrap-style:square;mso-position-horizontal-relative:page;mso-position-vertical-relative:page" o:ole="">
                  <v:imagedata r:id="rId43" o:title=""/>
                </v:shape>
                <o:OLEObject Type="Embed" ProgID="PBrush" ShapeID="_x0000_i1042" DrawAspect="Content" ObjectID="_1448021979" r:id="rId44"/>
              </w:object>
            </w:r>
          </w:p>
        </w:tc>
      </w:tr>
    </w:tbl>
    <w:p w:rsidR="00000000" w:rsidRDefault="003E498D">
      <w:pPr>
        <w:contextualSpacing/>
        <w:jc w:val="both"/>
        <w:rPr>
          <w:rFonts w:ascii="Times New Roman" w:hAnsi="Times New Roman"/>
          <w:sz w:val="26"/>
          <w:szCs w:val="26"/>
          <w:lang w:val="en-US"/>
        </w:rPr>
      </w:pPr>
      <w:r>
        <w:rPr>
          <w:rFonts w:ascii="Times New Roman" w:hAnsi="Times New Roman"/>
          <w:b/>
          <w:sz w:val="26"/>
          <w:szCs w:val="26"/>
        </w:rPr>
        <w:t>5)</w:t>
      </w:r>
      <w:r>
        <w:rPr>
          <w:rFonts w:ascii="Times New Roman" w:hAnsi="Times New Roman"/>
          <w:sz w:val="26"/>
          <w:szCs w:val="26"/>
        </w:rPr>
        <w:t xml:space="preserve"> </w:t>
      </w:r>
      <w:r>
        <w:rPr>
          <w:rFonts w:ascii="Times New Roman" w:hAnsi="Times New Roman"/>
          <w:b/>
          <w:sz w:val="26"/>
          <w:szCs w:val="26"/>
        </w:rPr>
        <w:t>Коефициент на рен</w:t>
      </w:r>
      <w:r>
        <w:rPr>
          <w:rFonts w:ascii="Times New Roman" w:hAnsi="Times New Roman"/>
          <w:b/>
          <w:sz w:val="26"/>
          <w:szCs w:val="26"/>
        </w:rPr>
        <w:t>табилност на приходите</w:t>
      </w:r>
      <w:r>
        <w:rPr>
          <w:rFonts w:ascii="Times New Roman" w:hAnsi="Times New Roman"/>
          <w:sz w:val="26"/>
          <w:szCs w:val="26"/>
        </w:rPr>
        <w:t xml:space="preserve"> - Видно от долупосочената графика, резултатите на десетте дружества за 2009 г. варират в границите от 0,06 </w:t>
      </w:r>
      <w:r>
        <w:rPr>
          <w:rFonts w:ascii="Times New Roman" w:hAnsi="Times New Roman"/>
          <w:sz w:val="26"/>
          <w:szCs w:val="26"/>
        </w:rPr>
        <w:lastRenderedPageBreak/>
        <w:t xml:space="preserve">до -0,07, където „Агенция Стрела“ ЕООД формира най-нисък коефициент, предвид обстоятелството, че само то е отчело отрицателен </w:t>
      </w:r>
      <w:r>
        <w:rPr>
          <w:rFonts w:ascii="Times New Roman" w:hAnsi="Times New Roman"/>
          <w:sz w:val="26"/>
          <w:szCs w:val="26"/>
        </w:rPr>
        <w:t>финансов резултат за годината. През 2010г. темпът на декапитализация намалява и е вече в границите от 0,03 до -0,02 , но за сметка на това през 2011г. той отново се връща почти на нивото от 2009г. По отношение на горната граница, коефициентът на рентабилно</w:t>
      </w:r>
      <w:r>
        <w:rPr>
          <w:rFonts w:ascii="Times New Roman" w:hAnsi="Times New Roman"/>
          <w:sz w:val="26"/>
          <w:szCs w:val="26"/>
        </w:rPr>
        <w:t xml:space="preserve">ст на участниците отчита спад от 0,04 до постоянни нива на 0,03 за двете последващи години. За разлика от 2009 г., когато само един от разпространителите приключва година на загуба, през 2010 г. дружествата са вече 2 (Група Герини и „Оларт“ ЕООД) , а през </w:t>
      </w:r>
      <w:r>
        <w:rPr>
          <w:rFonts w:ascii="Times New Roman" w:hAnsi="Times New Roman"/>
          <w:sz w:val="26"/>
          <w:szCs w:val="26"/>
        </w:rPr>
        <w:t>2011 г. към тях се присъединява и „Сенатор“ ООД. (Приложение № 6)</w:t>
      </w:r>
    </w:p>
    <w:tbl>
      <w:tblPr>
        <w:tblW w:w="0" w:type="auto"/>
        <w:tblLayout w:type="fixed"/>
        <w:tblLook w:val="0000" w:firstRow="0" w:lastRow="0" w:firstColumn="0" w:lastColumn="0" w:noHBand="0" w:noVBand="0"/>
      </w:tblPr>
      <w:tblGrid>
        <w:gridCol w:w="9212"/>
      </w:tblGrid>
      <w:tr w:rsidR="00000000">
        <w:tc>
          <w:tcPr>
            <w:tcW w:w="9212" w:type="dxa"/>
          </w:tcPr>
          <w:p w:rsidR="00000000" w:rsidRDefault="003E498D">
            <w:pPr>
              <w:contextualSpacing/>
              <w:jc w:val="right"/>
              <w:rPr>
                <w:rFonts w:ascii="Times New Roman" w:hAnsi="Times New Roman"/>
                <w:sz w:val="26"/>
                <w:szCs w:val="26"/>
              </w:rPr>
            </w:pPr>
            <w:r>
              <w:rPr>
                <w:rFonts w:ascii="Times New Roman" w:hAnsi="Times New Roman"/>
                <w:sz w:val="26"/>
                <w:szCs w:val="26"/>
              </w:rPr>
              <w:t>Графика № 11</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6743" w:dyaOrig="3304">
                <v:shape id="_x0000_i1043" type="#_x0000_t75" style="width:280.5pt;height:137.25pt;mso-wrap-style:square;mso-position-horizontal-relative:page;mso-position-vertical-relative:page" o:ole="">
                  <v:imagedata r:id="rId45" o:title=""/>
                </v:shape>
                <o:OLEObject Type="Embed" ProgID="PBrush" ShapeID="_x0000_i1043" DrawAspect="Content" ObjectID="_1448021980" r:id="rId46"/>
              </w:object>
            </w:r>
          </w:p>
        </w:tc>
      </w:tr>
    </w:tbl>
    <w:p w:rsidR="00000000" w:rsidRDefault="003E498D">
      <w:pPr>
        <w:contextualSpacing/>
        <w:rPr>
          <w:rFonts w:ascii="Times New Roman" w:hAnsi="Times New Roman"/>
          <w:sz w:val="26"/>
          <w:szCs w:val="26"/>
        </w:rPr>
      </w:pPr>
    </w:p>
    <w:p w:rsidR="00000000" w:rsidRDefault="003E498D">
      <w:pPr>
        <w:contextualSpacing/>
        <w:jc w:val="both"/>
        <w:rPr>
          <w:rFonts w:ascii="Times New Roman" w:hAnsi="Times New Roman"/>
          <w:sz w:val="26"/>
          <w:szCs w:val="26"/>
        </w:rPr>
      </w:pPr>
      <w:r>
        <w:rPr>
          <w:rFonts w:ascii="Times New Roman" w:hAnsi="Times New Roman"/>
          <w:b/>
          <w:sz w:val="26"/>
          <w:szCs w:val="26"/>
        </w:rPr>
        <w:t>6)</w:t>
      </w:r>
      <w:r>
        <w:rPr>
          <w:rFonts w:ascii="Times New Roman" w:hAnsi="Times New Roman"/>
          <w:sz w:val="26"/>
          <w:szCs w:val="26"/>
        </w:rPr>
        <w:t xml:space="preserve"> </w:t>
      </w:r>
      <w:r>
        <w:rPr>
          <w:rFonts w:ascii="Times New Roman" w:hAnsi="Times New Roman"/>
          <w:b/>
          <w:sz w:val="26"/>
          <w:szCs w:val="26"/>
        </w:rPr>
        <w:t>Коефициент на задлъжнялост</w:t>
      </w:r>
      <w:r>
        <w:rPr>
          <w:rFonts w:ascii="Times New Roman" w:hAnsi="Times New Roman"/>
          <w:sz w:val="26"/>
          <w:szCs w:val="26"/>
        </w:rPr>
        <w:t xml:space="preserve"> - За тригодишния период се отчитат съществени изменения, като тенденцията е загубите да се отразяват все по-негативно на собст</w:t>
      </w:r>
      <w:r>
        <w:rPr>
          <w:rFonts w:ascii="Times New Roman" w:hAnsi="Times New Roman"/>
          <w:sz w:val="26"/>
          <w:szCs w:val="26"/>
        </w:rPr>
        <w:t>вения капитал, видно от смяната на знака за долната граница за 2010г. и 2011г. Леко подобряване на показателите се отчита през 2011г., където двете граници се свиват, но наличието на негативни стойности е показателно, че съществуват участници, които работя</w:t>
      </w:r>
      <w:r>
        <w:rPr>
          <w:rFonts w:ascii="Times New Roman" w:hAnsi="Times New Roman"/>
          <w:sz w:val="26"/>
          <w:szCs w:val="26"/>
        </w:rPr>
        <w:t>т на загуба и не са в състояние да покрият задълженията си. (Приложение № 6)</w:t>
      </w:r>
    </w:p>
    <w:tbl>
      <w:tblPr>
        <w:tblW w:w="0" w:type="auto"/>
        <w:tblLayout w:type="fixed"/>
        <w:tblLook w:val="0000" w:firstRow="0" w:lastRow="0" w:firstColumn="0" w:lastColumn="0" w:noHBand="0" w:noVBand="0"/>
      </w:tblPr>
      <w:tblGrid>
        <w:gridCol w:w="9212"/>
      </w:tblGrid>
      <w:tr w:rsidR="00000000">
        <w:trPr>
          <w:trHeight w:val="3338"/>
        </w:trPr>
        <w:tc>
          <w:tcPr>
            <w:tcW w:w="9212" w:type="dxa"/>
          </w:tcPr>
          <w:p w:rsidR="00000000" w:rsidRDefault="003E498D">
            <w:pPr>
              <w:contextualSpacing/>
              <w:jc w:val="right"/>
              <w:rPr>
                <w:rFonts w:ascii="Times New Roman" w:hAnsi="Times New Roman"/>
                <w:sz w:val="26"/>
                <w:szCs w:val="26"/>
              </w:rPr>
            </w:pPr>
            <w:r>
              <w:rPr>
                <w:rFonts w:ascii="Times New Roman" w:hAnsi="Times New Roman"/>
                <w:sz w:val="26"/>
                <w:szCs w:val="26"/>
              </w:rPr>
              <w:t>Графика № 12</w:t>
            </w:r>
          </w:p>
          <w:p w:rsidR="00000000" w:rsidRDefault="003E498D">
            <w:pPr>
              <w:contextualSpacing/>
              <w:jc w:val="center"/>
              <w:rPr>
                <w:rFonts w:ascii="Times New Roman" w:hAnsi="Times New Roman"/>
                <w:sz w:val="26"/>
                <w:szCs w:val="26"/>
              </w:rPr>
            </w:pPr>
            <w:r>
              <w:rPr>
                <w:rFonts w:ascii="Times New Roman" w:hAnsi="Times New Roman"/>
                <w:sz w:val="26"/>
                <w:szCs w:val="26"/>
              </w:rPr>
              <w:object w:dxaOrig="5917" w:dyaOrig="2925">
                <v:shape id="_x0000_i1044" type="#_x0000_t75" style="width:273pt;height:135pt;mso-wrap-style:square;mso-position-horizontal-relative:page;mso-position-vertical-relative:page" o:ole="">
                  <v:imagedata r:id="rId47" o:title=""/>
                </v:shape>
                <o:OLEObject Type="Embed" ProgID="PBrush" ShapeID="_x0000_i1044" DrawAspect="Content" ObjectID="_1448021981" r:id="rId48"/>
              </w:object>
            </w:r>
          </w:p>
        </w:tc>
      </w:tr>
    </w:tbl>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При анализ на данните в счетоводните баланси на дружествата се установи, че задълженията към доставчици са краткосрочни (в рамките на година), а т</w:t>
      </w:r>
      <w:r>
        <w:rPr>
          <w:rFonts w:ascii="Times New Roman" w:hAnsi="Times New Roman"/>
          <w:sz w:val="26"/>
          <w:szCs w:val="26"/>
        </w:rPr>
        <w:t>ези, принадлежащи към икономическа група, имат основно задължения към предприятия от Групата. Така например през 2009 г. „Агенция Стрела“ ЕООД от общо задължения 12 395 хил. лв. към свързани лица  има 11 499 хил. лв., а към независими доставчици - 677 хил.</w:t>
      </w:r>
      <w:r>
        <w:rPr>
          <w:rFonts w:ascii="Times New Roman" w:hAnsi="Times New Roman"/>
          <w:sz w:val="26"/>
          <w:szCs w:val="26"/>
        </w:rPr>
        <w:t xml:space="preserve"> лв.. През 2010 г.  задълженията  на дружеството са общо в размер на 13 554 хил. лв., в т.ч. към </w:t>
      </w:r>
      <w:r>
        <w:rPr>
          <w:rFonts w:ascii="Times New Roman" w:hAnsi="Times New Roman"/>
          <w:sz w:val="26"/>
          <w:szCs w:val="26"/>
        </w:rPr>
        <w:lastRenderedPageBreak/>
        <w:t>свързани лица 12 279 хил. лв., а към независими  доставчици 1 088 хил. лв., а през 2011 г. съответно 13 913 хил. лв., от които 12 558 хил. лв. към свързани лиц</w:t>
      </w:r>
      <w:r>
        <w:rPr>
          <w:rFonts w:ascii="Times New Roman" w:hAnsi="Times New Roman"/>
          <w:sz w:val="26"/>
          <w:szCs w:val="26"/>
        </w:rPr>
        <w:t xml:space="preserve">а, а към независими доставчици 1 135 хил. лв. </w:t>
      </w:r>
    </w:p>
    <w:p w:rsidR="00000000" w:rsidRDefault="003E498D">
      <w:pPr>
        <w:ind w:firstLine="708"/>
        <w:contextualSpacing/>
        <w:jc w:val="both"/>
        <w:rPr>
          <w:rFonts w:ascii="Times New Roman" w:hAnsi="Times New Roman"/>
          <w:sz w:val="26"/>
          <w:szCs w:val="26"/>
        </w:rPr>
      </w:pPr>
    </w:p>
    <w:p w:rsidR="00000000" w:rsidRDefault="003E498D">
      <w:pPr>
        <w:contextualSpacing/>
        <w:jc w:val="both"/>
        <w:rPr>
          <w:rFonts w:ascii="Times New Roman" w:hAnsi="Times New Roman"/>
          <w:b/>
          <w:sz w:val="26"/>
          <w:szCs w:val="26"/>
        </w:rPr>
      </w:pPr>
      <w:r>
        <w:rPr>
          <w:rFonts w:ascii="Times New Roman" w:hAnsi="Times New Roman"/>
          <w:b/>
          <w:sz w:val="26"/>
          <w:szCs w:val="26"/>
        </w:rPr>
        <w:t>7) Съотношение на приходите от разпространение на печатни издания към стойността на закупените издания</w:t>
      </w:r>
    </w:p>
    <w:p w:rsidR="00000000" w:rsidRDefault="003E498D">
      <w:pPr>
        <w:contextualSpacing/>
        <w:jc w:val="both"/>
        <w:rPr>
          <w:rFonts w:ascii="Times New Roman" w:hAnsi="Times New Roman"/>
          <w:sz w:val="26"/>
          <w:szCs w:val="26"/>
          <w:lang w:val="en-US"/>
        </w:rPr>
      </w:pPr>
      <w:r>
        <w:rPr>
          <w:rFonts w:ascii="Times New Roman" w:hAnsi="Times New Roman"/>
          <w:b/>
          <w:sz w:val="26"/>
          <w:szCs w:val="26"/>
        </w:rPr>
        <w:tab/>
      </w:r>
      <w:r>
        <w:rPr>
          <w:rFonts w:ascii="Times New Roman" w:hAnsi="Times New Roman"/>
          <w:sz w:val="26"/>
          <w:szCs w:val="26"/>
        </w:rPr>
        <w:t xml:space="preserve">КЗК изчисли границите на т.нар. </w:t>
      </w:r>
      <w:r>
        <w:rPr>
          <w:rFonts w:ascii="Times New Roman" w:hAnsi="Times New Roman"/>
          <w:i/>
          <w:sz w:val="26"/>
          <w:szCs w:val="26"/>
        </w:rPr>
        <w:t>добавена стойност</w:t>
      </w:r>
      <w:r>
        <w:rPr>
          <w:rFonts w:ascii="Times New Roman" w:hAnsi="Times New Roman"/>
          <w:sz w:val="26"/>
          <w:szCs w:val="26"/>
        </w:rPr>
        <w:t xml:space="preserve"> при препродажбата на печатни издания и установи, че за</w:t>
      </w:r>
      <w:r>
        <w:rPr>
          <w:rFonts w:ascii="Times New Roman" w:hAnsi="Times New Roman"/>
          <w:sz w:val="26"/>
          <w:szCs w:val="26"/>
        </w:rPr>
        <w:t xml:space="preserve"> 2009 г-2010 г. най-високи са показателите на „Булгарпрес“ ООД, който закупува издания както от издатели, така и от други търговци на едро, но ги продава директно на крайни разпространители (търговски вериги и бензиностанции), а за 2011г. Група Герини отбе</w:t>
      </w:r>
      <w:r>
        <w:rPr>
          <w:rFonts w:ascii="Times New Roman" w:hAnsi="Times New Roman"/>
          <w:sz w:val="26"/>
          <w:szCs w:val="26"/>
        </w:rPr>
        <w:t>лязва най-голямо съотношение от 22%. За целия анализиран период най-нисък и стабилен марж има „Национална дистрибуция“ ООД, чиято дейност е ограничена само в препродажба на издания от рампата към други търговци. (Приложение № 6)</w:t>
      </w:r>
    </w:p>
    <w:tbl>
      <w:tblPr>
        <w:tblW w:w="0" w:type="auto"/>
        <w:tblLayout w:type="fixed"/>
        <w:tblLook w:val="0000" w:firstRow="0" w:lastRow="0" w:firstColumn="0" w:lastColumn="0" w:noHBand="0" w:noVBand="0"/>
      </w:tblPr>
      <w:tblGrid>
        <w:gridCol w:w="9270"/>
      </w:tblGrid>
      <w:tr w:rsidR="00000000">
        <w:tc>
          <w:tcPr>
            <w:tcW w:w="9270" w:type="dxa"/>
          </w:tcPr>
          <w:p w:rsidR="00000000" w:rsidRDefault="003E498D">
            <w:pPr>
              <w:contextualSpacing/>
              <w:rPr>
                <w:rFonts w:ascii="Times New Roman" w:hAnsi="Times New Roman"/>
                <w:sz w:val="26"/>
                <w:szCs w:val="26"/>
              </w:rPr>
            </w:pPr>
          </w:p>
          <w:p w:rsidR="00000000" w:rsidRDefault="003E498D">
            <w:pPr>
              <w:contextualSpacing/>
              <w:jc w:val="right"/>
              <w:rPr>
                <w:rFonts w:ascii="Times New Roman" w:hAnsi="Times New Roman"/>
                <w:sz w:val="26"/>
                <w:szCs w:val="26"/>
              </w:rPr>
            </w:pPr>
            <w:r>
              <w:rPr>
                <w:rFonts w:ascii="Times New Roman" w:hAnsi="Times New Roman"/>
                <w:sz w:val="26"/>
                <w:szCs w:val="26"/>
              </w:rPr>
              <w:t>Графика № 13</w:t>
            </w:r>
          </w:p>
          <w:p w:rsidR="00000000" w:rsidRDefault="003E498D">
            <w:pPr>
              <w:contextualSpacing/>
              <w:jc w:val="center"/>
              <w:rPr>
                <w:rFonts w:ascii="Times New Roman" w:hAnsi="Times New Roman"/>
                <w:b/>
                <w:sz w:val="26"/>
                <w:szCs w:val="26"/>
              </w:rPr>
            </w:pPr>
            <w:r>
              <w:rPr>
                <w:rFonts w:ascii="Times New Roman" w:hAnsi="Times New Roman"/>
                <w:sz w:val="26"/>
                <w:szCs w:val="26"/>
              </w:rPr>
              <w:object w:dxaOrig="13295" w:dyaOrig="4861">
                <v:shape id="_x0000_i1045" type="#_x0000_t75" style="width:453pt;height:165.75pt;mso-wrap-style:square;mso-position-horizontal-relative:page;mso-position-vertical-relative:page" o:ole="">
                  <v:imagedata r:id="rId49" o:title=""/>
                </v:shape>
                <o:OLEObject Type="Embed" ProgID="PBrush" ShapeID="_x0000_i1045" DrawAspect="Content" ObjectID="_1448021982" r:id="rId50"/>
              </w:object>
            </w:r>
          </w:p>
        </w:tc>
      </w:tr>
    </w:tbl>
    <w:p w:rsidR="00000000" w:rsidRDefault="003E498D">
      <w:pPr>
        <w:ind w:firstLine="708"/>
        <w:contextualSpacing/>
        <w:jc w:val="both"/>
        <w:rPr>
          <w:rFonts w:ascii="Times New Roman" w:hAnsi="Times New Roman"/>
          <w:color w:val="4F81BD"/>
          <w:sz w:val="26"/>
          <w:szCs w:val="26"/>
        </w:rPr>
      </w:pPr>
      <w:r>
        <w:rPr>
          <w:rFonts w:ascii="Times New Roman" w:hAnsi="Times New Roman"/>
          <w:sz w:val="26"/>
          <w:szCs w:val="26"/>
        </w:rPr>
        <w:t>От данните, илюстрирани в графиката, може да се направи заключението, че маржът между приходите от разпространение на печатни издания и стойността на закупените издания е по-голям при разпространители, които оперират в повече населени места и имат и</w:t>
      </w:r>
      <w:r>
        <w:rPr>
          <w:rFonts w:ascii="Times New Roman" w:hAnsi="Times New Roman"/>
          <w:sz w:val="26"/>
          <w:szCs w:val="26"/>
        </w:rPr>
        <w:t xml:space="preserve"> крайни пунктове за продажба. Тези участници от една страна получават по-висок размер ТО, част от която те усвояват изцяло чрез реализация в собствени/наети крайни пунктове за продажба.</w:t>
      </w:r>
    </w:p>
    <w:p w:rsidR="00000000" w:rsidRDefault="003E498D">
      <w:pPr>
        <w:contextualSpacing/>
        <w:jc w:val="both"/>
        <w:rPr>
          <w:rFonts w:ascii="Times New Roman" w:hAnsi="Times New Roman"/>
          <w:sz w:val="26"/>
          <w:szCs w:val="26"/>
        </w:rPr>
      </w:pPr>
    </w:p>
    <w:p w:rsidR="00000000" w:rsidRDefault="003E498D">
      <w:pPr>
        <w:pStyle w:val="Heading3"/>
        <w:contextualSpacing/>
        <w:rPr>
          <w:b w:val="0"/>
          <w:sz w:val="26"/>
          <w:szCs w:val="26"/>
        </w:rPr>
      </w:pPr>
      <w:r>
        <w:rPr>
          <w:b w:val="0"/>
          <w:sz w:val="26"/>
          <w:szCs w:val="26"/>
        </w:rPr>
        <w:t>Опериращи в рамките на софийски регион</w:t>
      </w:r>
    </w:p>
    <w:p w:rsidR="00000000" w:rsidRDefault="003E498D">
      <w:pPr>
        <w:ind w:firstLine="708"/>
        <w:contextualSpacing/>
        <w:jc w:val="both"/>
        <w:rPr>
          <w:rFonts w:ascii="Times New Roman" w:hAnsi="Times New Roman"/>
          <w:b/>
          <w:sz w:val="26"/>
          <w:szCs w:val="26"/>
          <w:lang w:val="en-US"/>
        </w:rPr>
      </w:pPr>
      <w:r>
        <w:rPr>
          <w:rFonts w:ascii="Times New Roman" w:hAnsi="Times New Roman"/>
          <w:b/>
          <w:sz w:val="26"/>
          <w:szCs w:val="26"/>
          <w:lang w:val="en-US"/>
        </w:rPr>
        <w:t>1)</w:t>
      </w:r>
      <w:r>
        <w:rPr>
          <w:rFonts w:ascii="Times New Roman" w:hAnsi="Times New Roman"/>
          <w:b/>
          <w:sz w:val="26"/>
          <w:szCs w:val="26"/>
          <w:lang w:val="en-US"/>
        </w:rPr>
        <w:tab/>
      </w:r>
      <w:r>
        <w:rPr>
          <w:rFonts w:ascii="Times New Roman" w:hAnsi="Times New Roman"/>
          <w:b/>
          <w:sz w:val="26"/>
          <w:szCs w:val="26"/>
          <w:lang w:val="en-US"/>
        </w:rPr>
        <w:t xml:space="preserve">Приходи от разпространение </w:t>
      </w:r>
      <w:r>
        <w:rPr>
          <w:rFonts w:ascii="Times New Roman" w:hAnsi="Times New Roman"/>
          <w:b/>
          <w:sz w:val="26"/>
          <w:szCs w:val="26"/>
          <w:lang w:val="en-US"/>
        </w:rPr>
        <w:t>на печатни издания към общите оперативни приходи</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По своя дял, средно приходите от разпространение представляват приблизително 96% от общите оперативни приходи за периода, което КЗК счита за показателно, че </w:t>
      </w:r>
      <w:r>
        <w:rPr>
          <w:rFonts w:ascii="Times New Roman" w:hAnsi="Times New Roman"/>
          <w:b/>
          <w:sz w:val="26"/>
          <w:szCs w:val="26"/>
        </w:rPr>
        <w:t>това е основната дейност на участниците</w:t>
      </w:r>
      <w:r>
        <w:rPr>
          <w:rFonts w:ascii="Times New Roman" w:hAnsi="Times New Roman"/>
          <w:sz w:val="26"/>
          <w:szCs w:val="26"/>
        </w:rPr>
        <w:t>.  Mинималн</w:t>
      </w:r>
      <w:r>
        <w:rPr>
          <w:rFonts w:ascii="Times New Roman" w:hAnsi="Times New Roman"/>
          <w:sz w:val="26"/>
          <w:szCs w:val="26"/>
        </w:rPr>
        <w:t>ата стойност на съотношението е над 95% за 2009г. и 2011г., като само за 2010г.,  отчита лек спад до 94% (от страна на „Разпространение на печата” АД). За други, основната дейност формира 100% от оперативните приходи ( напр. „ЕТ Тони – ДВ Цветанка Иванова“</w:t>
      </w:r>
      <w:r>
        <w:rPr>
          <w:rFonts w:ascii="Times New Roman" w:hAnsi="Times New Roman"/>
          <w:sz w:val="26"/>
          <w:szCs w:val="26"/>
        </w:rPr>
        <w:t>). (Приложение № 7)</w:t>
      </w:r>
    </w:p>
    <w:tbl>
      <w:tblPr>
        <w:tblW w:w="0" w:type="auto"/>
        <w:tblLayout w:type="fixed"/>
        <w:tblLook w:val="0000" w:firstRow="0" w:lastRow="0" w:firstColumn="0" w:lastColumn="0" w:noHBand="0" w:noVBand="0"/>
      </w:tblPr>
      <w:tblGrid>
        <w:gridCol w:w="9212"/>
      </w:tblGrid>
      <w:tr w:rsidR="00000000">
        <w:tc>
          <w:tcPr>
            <w:tcW w:w="9212" w:type="dxa"/>
          </w:tcPr>
          <w:p w:rsidR="00000000" w:rsidRDefault="003E498D">
            <w:pPr>
              <w:contextualSpacing/>
              <w:jc w:val="right"/>
              <w:rPr>
                <w:rFonts w:ascii="Times New Roman" w:hAnsi="Times New Roman"/>
                <w:sz w:val="26"/>
                <w:szCs w:val="26"/>
              </w:rPr>
            </w:pPr>
            <w:r>
              <w:rPr>
                <w:rFonts w:ascii="Times New Roman" w:hAnsi="Times New Roman"/>
                <w:sz w:val="26"/>
                <w:szCs w:val="26"/>
              </w:rPr>
              <w:t>Графика № 14</w:t>
            </w:r>
          </w:p>
          <w:p w:rsidR="00000000" w:rsidRDefault="003E498D">
            <w:pPr>
              <w:contextualSpacing/>
              <w:jc w:val="center"/>
              <w:rPr>
                <w:rFonts w:ascii="Times New Roman" w:hAnsi="Times New Roman"/>
                <w:b/>
                <w:sz w:val="26"/>
                <w:szCs w:val="26"/>
              </w:rPr>
            </w:pPr>
            <w:r>
              <w:rPr>
                <w:rFonts w:ascii="Times New Roman" w:hAnsi="Times New Roman"/>
                <w:sz w:val="26"/>
                <w:szCs w:val="26"/>
              </w:rPr>
              <w:object w:dxaOrig="8187" w:dyaOrig="3830">
                <v:shape id="_x0000_i1046" type="#_x0000_t75" style="width:276pt;height:129.75pt;mso-wrap-style:square;mso-position-horizontal-relative:page;mso-position-vertical-relative:page" o:ole="">
                  <v:imagedata r:id="rId51" o:title=""/>
                </v:shape>
                <o:OLEObject Type="Embed" ProgID="PBrush" ShapeID="_x0000_i1046" DrawAspect="Content" ObjectID="_1448021983" r:id="rId52"/>
              </w:object>
            </w:r>
          </w:p>
        </w:tc>
      </w:tr>
    </w:tbl>
    <w:p w:rsidR="00000000" w:rsidRDefault="003E498D">
      <w:pPr>
        <w:contextualSpacing/>
        <w:jc w:val="both"/>
        <w:rPr>
          <w:rFonts w:ascii="Times New Roman" w:hAnsi="Times New Roman"/>
          <w:b/>
          <w:sz w:val="26"/>
          <w:szCs w:val="26"/>
          <w:lang w:val="en-US"/>
        </w:rPr>
      </w:pPr>
    </w:p>
    <w:p w:rsidR="00000000" w:rsidRDefault="003E498D">
      <w:pPr>
        <w:contextualSpacing/>
        <w:jc w:val="both"/>
        <w:rPr>
          <w:rFonts w:ascii="Times New Roman" w:hAnsi="Times New Roman"/>
          <w:sz w:val="26"/>
          <w:szCs w:val="26"/>
        </w:rPr>
      </w:pPr>
      <w:r>
        <w:rPr>
          <w:rFonts w:ascii="Times New Roman" w:hAnsi="Times New Roman"/>
          <w:b/>
          <w:sz w:val="26"/>
          <w:szCs w:val="26"/>
        </w:rPr>
        <w:t>2) Промяна на нетните приходи от оперативна дейност</w:t>
      </w:r>
    </w:p>
    <w:p w:rsidR="00000000" w:rsidRDefault="003E498D">
      <w:pPr>
        <w:ind w:firstLine="708"/>
        <w:contextualSpacing/>
        <w:jc w:val="both"/>
        <w:rPr>
          <w:rFonts w:ascii="Times New Roman" w:hAnsi="Times New Roman"/>
          <w:sz w:val="26"/>
          <w:szCs w:val="26"/>
          <w:lang w:val="en-US"/>
        </w:rPr>
      </w:pPr>
      <w:r>
        <w:rPr>
          <w:rFonts w:ascii="Times New Roman" w:hAnsi="Times New Roman"/>
          <w:sz w:val="26"/>
          <w:szCs w:val="26"/>
        </w:rPr>
        <w:t>Този показател демонстрира относителна стабилност, като минималната му стойност, тоест максималното намаление на приходите на участниците в тази група</w:t>
      </w:r>
      <w:r>
        <w:rPr>
          <w:rFonts w:ascii="Times New Roman" w:hAnsi="Times New Roman"/>
          <w:sz w:val="26"/>
          <w:szCs w:val="26"/>
        </w:rPr>
        <w:t>, се задържа на ниво от -17%  до -16%. В този смисъл, самите предприятия посочват в наблюденията си влошената икономическа обстановка, непроменените ТО и корични цени на изданията, както и отлива на търсене на печатни издания, които очевидно намират своето</w:t>
      </w:r>
      <w:r>
        <w:rPr>
          <w:rFonts w:ascii="Times New Roman" w:hAnsi="Times New Roman"/>
          <w:sz w:val="26"/>
          <w:szCs w:val="26"/>
        </w:rPr>
        <w:t xml:space="preserve"> отражение върху реализираните от тях приходи от разпространение на печатни издания. (Приложение № 7)</w:t>
      </w:r>
    </w:p>
    <w:tbl>
      <w:tblPr>
        <w:tblW w:w="0" w:type="auto"/>
        <w:tblLayout w:type="fixed"/>
        <w:tblLook w:val="0000" w:firstRow="0" w:lastRow="0" w:firstColumn="0" w:lastColumn="0" w:noHBand="0" w:noVBand="0"/>
      </w:tblPr>
      <w:tblGrid>
        <w:gridCol w:w="9212"/>
      </w:tblGrid>
      <w:tr w:rsidR="00000000">
        <w:tc>
          <w:tcPr>
            <w:tcW w:w="9212" w:type="dxa"/>
          </w:tcPr>
          <w:p w:rsidR="00000000" w:rsidRDefault="003E498D">
            <w:pPr>
              <w:contextualSpacing/>
              <w:jc w:val="right"/>
              <w:rPr>
                <w:rFonts w:ascii="Times New Roman" w:hAnsi="Times New Roman"/>
                <w:sz w:val="26"/>
                <w:szCs w:val="26"/>
              </w:rPr>
            </w:pPr>
            <w:r>
              <w:rPr>
                <w:rFonts w:ascii="Times New Roman" w:hAnsi="Times New Roman"/>
                <w:sz w:val="26"/>
                <w:szCs w:val="26"/>
              </w:rPr>
              <w:t>Графика №</w:t>
            </w:r>
            <w:r>
              <w:rPr>
                <w:rFonts w:ascii="Times New Roman" w:hAnsi="Times New Roman"/>
                <w:sz w:val="26"/>
                <w:szCs w:val="26"/>
                <w:lang w:val="en-US"/>
              </w:rPr>
              <w:t xml:space="preserve"> </w:t>
            </w:r>
            <w:r>
              <w:rPr>
                <w:rFonts w:ascii="Times New Roman" w:hAnsi="Times New Roman"/>
                <w:sz w:val="26"/>
                <w:szCs w:val="26"/>
              </w:rPr>
              <w:t>15</w:t>
            </w:r>
          </w:p>
          <w:p w:rsidR="00000000" w:rsidRDefault="003E498D">
            <w:pPr>
              <w:contextualSpacing/>
              <w:jc w:val="center"/>
              <w:rPr>
                <w:rFonts w:ascii="Times New Roman" w:hAnsi="Times New Roman"/>
                <w:b/>
                <w:sz w:val="26"/>
                <w:szCs w:val="26"/>
              </w:rPr>
            </w:pPr>
            <w:r>
              <w:rPr>
                <w:rFonts w:ascii="Times New Roman" w:hAnsi="Times New Roman"/>
                <w:sz w:val="26"/>
                <w:szCs w:val="26"/>
              </w:rPr>
              <w:object w:dxaOrig="6391" w:dyaOrig="3275">
                <v:shape id="_x0000_i1047" type="#_x0000_t75" style="width:231pt;height:117.75pt;mso-wrap-style:square;mso-position-horizontal-relative:page;mso-position-vertical-relative:page" o:ole="">
                  <v:imagedata r:id="rId53" o:title=""/>
                </v:shape>
                <o:OLEObject Type="Embed" ProgID="PBrush" ShapeID="_x0000_i1047" DrawAspect="Content" ObjectID="_1448021984" r:id="rId54"/>
              </w:object>
            </w:r>
          </w:p>
        </w:tc>
      </w:tr>
    </w:tbl>
    <w:p w:rsidR="00000000" w:rsidRDefault="003E498D">
      <w:pPr>
        <w:contextualSpacing/>
        <w:jc w:val="both"/>
        <w:rPr>
          <w:rFonts w:ascii="Times New Roman" w:hAnsi="Times New Roman"/>
          <w:sz w:val="26"/>
          <w:szCs w:val="26"/>
        </w:rPr>
      </w:pPr>
      <w:r>
        <w:rPr>
          <w:rFonts w:ascii="Times New Roman" w:hAnsi="Times New Roman"/>
          <w:b/>
          <w:sz w:val="26"/>
          <w:szCs w:val="26"/>
        </w:rPr>
        <w:t>3) Промяна на общите разходи от оперативна дейност</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Този показател отчита паралелни с предходния нива, където разходите се</w:t>
      </w:r>
      <w:r>
        <w:rPr>
          <w:rFonts w:ascii="Times New Roman" w:hAnsi="Times New Roman"/>
          <w:sz w:val="26"/>
          <w:szCs w:val="26"/>
        </w:rPr>
        <w:t xml:space="preserve"> свиват с  17% през  2010г. и с 16% за  2011г. на годишна база. Участниците, опериращи на територията на гр. София и региона, посочват следните основни разходи за осъществяване на оперативната си дейност: наем на пунктове за крайни продажби; заплащане на т</w:t>
      </w:r>
      <w:r>
        <w:rPr>
          <w:rFonts w:ascii="Times New Roman" w:hAnsi="Times New Roman"/>
          <w:sz w:val="26"/>
          <w:szCs w:val="26"/>
        </w:rPr>
        <w:t>акси за тротоарно право; заплати и осигуровки на персонала; транспорт; телефон, разходи за търговско съоръжение и оборудване (катинари, стендери); и др. (Приложение № 7)</w:t>
      </w:r>
    </w:p>
    <w:p w:rsidR="00000000" w:rsidRDefault="003E498D">
      <w:pPr>
        <w:ind w:firstLine="708"/>
        <w:contextualSpacing/>
        <w:jc w:val="both"/>
        <w:rPr>
          <w:rFonts w:ascii="Times New Roman" w:hAnsi="Times New Roman"/>
          <w:sz w:val="26"/>
          <w:szCs w:val="26"/>
        </w:rPr>
      </w:pPr>
    </w:p>
    <w:tbl>
      <w:tblPr>
        <w:tblW w:w="0" w:type="auto"/>
        <w:tblLayout w:type="fixed"/>
        <w:tblLook w:val="0000" w:firstRow="0" w:lastRow="0" w:firstColumn="0" w:lastColumn="0" w:noHBand="0" w:noVBand="0"/>
      </w:tblPr>
      <w:tblGrid>
        <w:gridCol w:w="9212"/>
      </w:tblGrid>
      <w:tr w:rsidR="00000000">
        <w:tc>
          <w:tcPr>
            <w:tcW w:w="9212" w:type="dxa"/>
          </w:tcPr>
          <w:p w:rsidR="00000000" w:rsidRDefault="003E498D">
            <w:pPr>
              <w:contextualSpacing/>
              <w:jc w:val="right"/>
              <w:rPr>
                <w:rFonts w:ascii="Times New Roman" w:hAnsi="Times New Roman"/>
                <w:sz w:val="26"/>
                <w:szCs w:val="26"/>
              </w:rPr>
            </w:pPr>
            <w:r>
              <w:rPr>
                <w:rFonts w:ascii="Times New Roman" w:hAnsi="Times New Roman"/>
                <w:sz w:val="26"/>
                <w:szCs w:val="26"/>
              </w:rPr>
              <w:t>Графика № 16</w:t>
            </w:r>
          </w:p>
          <w:p w:rsidR="00000000" w:rsidRDefault="003E498D">
            <w:pPr>
              <w:contextualSpacing/>
              <w:jc w:val="center"/>
              <w:rPr>
                <w:rFonts w:ascii="Times New Roman" w:hAnsi="Times New Roman"/>
                <w:b/>
                <w:sz w:val="26"/>
                <w:szCs w:val="26"/>
              </w:rPr>
            </w:pPr>
            <w:r>
              <w:rPr>
                <w:rFonts w:ascii="Times New Roman" w:hAnsi="Times New Roman"/>
                <w:sz w:val="26"/>
                <w:szCs w:val="26"/>
              </w:rPr>
              <w:object w:dxaOrig="8113" w:dyaOrig="3756">
                <v:shape id="_x0000_i1048" type="#_x0000_t75" style="width:254.25pt;height:116.25pt;mso-wrap-style:square;mso-position-horizontal-relative:page;mso-position-vertical-relative:page" o:ole="">
                  <v:imagedata r:id="rId55" o:title=""/>
                </v:shape>
                <o:OLEObject Type="Embed" ProgID="PBrush" ShapeID="_x0000_i1048" DrawAspect="Content" ObjectID="_1448021985" r:id="rId56"/>
              </w:object>
            </w:r>
          </w:p>
        </w:tc>
      </w:tr>
    </w:tbl>
    <w:p w:rsidR="00000000" w:rsidRDefault="003E498D">
      <w:pPr>
        <w:contextualSpacing/>
        <w:jc w:val="both"/>
        <w:rPr>
          <w:rFonts w:ascii="Times New Roman" w:hAnsi="Times New Roman"/>
          <w:b/>
          <w:sz w:val="26"/>
          <w:szCs w:val="26"/>
        </w:rPr>
      </w:pPr>
      <w:r>
        <w:rPr>
          <w:rFonts w:ascii="Times New Roman" w:hAnsi="Times New Roman"/>
          <w:b/>
          <w:sz w:val="26"/>
          <w:szCs w:val="26"/>
        </w:rPr>
        <w:t xml:space="preserve">4) Промяна в нетна печалба/загуба </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lastRenderedPageBreak/>
        <w:t>През 2009г. „Разп</w:t>
      </w:r>
      <w:r>
        <w:rPr>
          <w:rFonts w:ascii="Times New Roman" w:hAnsi="Times New Roman"/>
          <w:sz w:val="26"/>
          <w:szCs w:val="26"/>
        </w:rPr>
        <w:t>ространение на печата“ АД регистрира най-висока печалба в групата от 69 хил.лв., а най-голямата загуба - „АКС Трейдинг“ ООД, което през 2010г. е единственото дружество, което отчита отрицателен финансов резултат. През 2011г. всички участници реализират нет</w:t>
      </w:r>
      <w:r>
        <w:rPr>
          <w:rFonts w:ascii="Times New Roman" w:hAnsi="Times New Roman"/>
          <w:sz w:val="26"/>
          <w:szCs w:val="26"/>
        </w:rPr>
        <w:t>на печалба. Най-големи вариации в резултатите има „АКС Трейдинг“ ООД, който с нетни загуби от 97 хил.лв. и 130 хил. лв. съответно за 2009г. и 2010г. реализира втората по големина печалба в тази група от 86 хил. лв. през 2011г. (Приложение № 7)</w:t>
      </w:r>
    </w:p>
    <w:p w:rsidR="00000000" w:rsidRDefault="003E498D">
      <w:pPr>
        <w:ind w:firstLine="708"/>
        <w:contextualSpacing/>
        <w:jc w:val="both"/>
        <w:rPr>
          <w:rFonts w:ascii="Times New Roman" w:hAnsi="Times New Roman"/>
          <w:sz w:val="26"/>
          <w:szCs w:val="26"/>
          <w:lang w:val="en-US"/>
        </w:rPr>
      </w:pPr>
    </w:p>
    <w:tbl>
      <w:tblPr>
        <w:tblW w:w="0" w:type="auto"/>
        <w:tblLayout w:type="fixed"/>
        <w:tblLook w:val="0000" w:firstRow="0" w:lastRow="0" w:firstColumn="0" w:lastColumn="0" w:noHBand="0" w:noVBand="0"/>
      </w:tblPr>
      <w:tblGrid>
        <w:gridCol w:w="9212"/>
      </w:tblGrid>
      <w:tr w:rsidR="00000000">
        <w:tc>
          <w:tcPr>
            <w:tcW w:w="9212" w:type="dxa"/>
          </w:tcPr>
          <w:p w:rsidR="00000000" w:rsidRDefault="003E498D">
            <w:pPr>
              <w:contextualSpacing/>
              <w:jc w:val="right"/>
              <w:rPr>
                <w:rFonts w:ascii="Times New Roman" w:hAnsi="Times New Roman"/>
                <w:sz w:val="26"/>
                <w:szCs w:val="26"/>
              </w:rPr>
            </w:pPr>
            <w:r>
              <w:rPr>
                <w:rFonts w:ascii="Times New Roman" w:hAnsi="Times New Roman"/>
                <w:sz w:val="26"/>
                <w:szCs w:val="26"/>
              </w:rPr>
              <w:t>Графика № 1</w:t>
            </w:r>
            <w:r>
              <w:rPr>
                <w:rFonts w:ascii="Times New Roman" w:hAnsi="Times New Roman"/>
                <w:sz w:val="26"/>
                <w:szCs w:val="26"/>
              </w:rPr>
              <w:t>7</w:t>
            </w:r>
          </w:p>
          <w:p w:rsidR="00000000" w:rsidRDefault="003E498D">
            <w:pPr>
              <w:contextualSpacing/>
              <w:jc w:val="center"/>
              <w:rPr>
                <w:rFonts w:ascii="Times New Roman" w:hAnsi="Times New Roman"/>
                <w:b/>
                <w:sz w:val="26"/>
                <w:szCs w:val="26"/>
              </w:rPr>
            </w:pPr>
            <w:r>
              <w:rPr>
                <w:rFonts w:ascii="Times New Roman" w:hAnsi="Times New Roman"/>
                <w:sz w:val="26"/>
                <w:szCs w:val="26"/>
              </w:rPr>
              <w:object w:dxaOrig="10469" w:dyaOrig="3604">
                <v:shape id="_x0000_i1049" type="#_x0000_t75" style="width:394.5pt;height:136.5pt;mso-wrap-style:square;mso-position-horizontal-relative:page;mso-position-vertical-relative:page" o:ole="">
                  <v:imagedata r:id="rId57" o:title=""/>
                </v:shape>
                <o:OLEObject Type="Embed" ProgID="PBrush" ShapeID="_x0000_i1049" DrawAspect="Content" ObjectID="_1448021986" r:id="rId58"/>
              </w:object>
            </w:r>
          </w:p>
        </w:tc>
      </w:tr>
    </w:tbl>
    <w:p w:rsidR="00000000" w:rsidRDefault="003E498D">
      <w:pPr>
        <w:contextualSpacing/>
        <w:jc w:val="both"/>
        <w:rPr>
          <w:rFonts w:ascii="Times New Roman" w:hAnsi="Times New Roman"/>
          <w:b/>
          <w:sz w:val="26"/>
          <w:szCs w:val="26"/>
        </w:rPr>
      </w:pPr>
    </w:p>
    <w:p w:rsidR="00000000" w:rsidRDefault="003E498D">
      <w:pPr>
        <w:contextualSpacing/>
        <w:jc w:val="both"/>
        <w:rPr>
          <w:rFonts w:ascii="Times New Roman" w:hAnsi="Times New Roman"/>
          <w:b/>
          <w:sz w:val="26"/>
          <w:szCs w:val="26"/>
        </w:rPr>
      </w:pPr>
      <w:r>
        <w:rPr>
          <w:rFonts w:ascii="Times New Roman" w:hAnsi="Times New Roman"/>
          <w:b/>
          <w:sz w:val="26"/>
          <w:szCs w:val="26"/>
        </w:rPr>
        <w:t>5) Коефициент на рентабилност на приходите</w:t>
      </w:r>
    </w:p>
    <w:p w:rsidR="00000000" w:rsidRDefault="003E498D">
      <w:pPr>
        <w:ind w:firstLine="708"/>
        <w:contextualSpacing/>
        <w:jc w:val="both"/>
        <w:rPr>
          <w:rFonts w:ascii="Times New Roman" w:hAnsi="Times New Roman"/>
          <w:sz w:val="26"/>
          <w:szCs w:val="26"/>
          <w:lang w:val="en-US"/>
        </w:rPr>
      </w:pPr>
      <w:r>
        <w:rPr>
          <w:rFonts w:ascii="Times New Roman" w:hAnsi="Times New Roman"/>
          <w:sz w:val="26"/>
          <w:szCs w:val="26"/>
        </w:rPr>
        <w:t xml:space="preserve"> Резултатите на разпространителите варират с минимални отклонения за периода 2009 г.-2010 г.  През 2011 г. анкетираните участници реализират нетна печалба и коефициентът губи отрицателна сто</w:t>
      </w:r>
      <w:r>
        <w:rPr>
          <w:rFonts w:ascii="Times New Roman" w:hAnsi="Times New Roman"/>
          <w:sz w:val="26"/>
          <w:szCs w:val="26"/>
        </w:rPr>
        <w:t>йност и нараства до 0,06.   (Приложение № 7).</w:t>
      </w:r>
    </w:p>
    <w:tbl>
      <w:tblPr>
        <w:tblW w:w="0" w:type="auto"/>
        <w:tblLayout w:type="fixed"/>
        <w:tblLook w:val="0000" w:firstRow="0" w:lastRow="0" w:firstColumn="0" w:lastColumn="0" w:noHBand="0" w:noVBand="0"/>
      </w:tblPr>
      <w:tblGrid>
        <w:gridCol w:w="9212"/>
      </w:tblGrid>
      <w:tr w:rsidR="00000000">
        <w:tc>
          <w:tcPr>
            <w:tcW w:w="9212" w:type="dxa"/>
          </w:tcPr>
          <w:p w:rsidR="00000000" w:rsidRDefault="003E498D">
            <w:pPr>
              <w:contextualSpacing/>
              <w:rPr>
                <w:rFonts w:ascii="Times New Roman" w:hAnsi="Times New Roman"/>
                <w:sz w:val="26"/>
                <w:szCs w:val="26"/>
              </w:rPr>
            </w:pPr>
          </w:p>
          <w:p w:rsidR="00000000" w:rsidRDefault="003E498D">
            <w:pPr>
              <w:contextualSpacing/>
              <w:rPr>
                <w:rFonts w:ascii="Times New Roman" w:hAnsi="Times New Roman"/>
                <w:sz w:val="26"/>
                <w:szCs w:val="26"/>
              </w:rPr>
            </w:pPr>
          </w:p>
          <w:p w:rsidR="00000000" w:rsidRDefault="003E498D">
            <w:pPr>
              <w:contextualSpacing/>
              <w:rPr>
                <w:rFonts w:ascii="Times New Roman" w:hAnsi="Times New Roman"/>
                <w:sz w:val="26"/>
                <w:szCs w:val="26"/>
              </w:rPr>
            </w:pPr>
          </w:p>
          <w:p w:rsidR="00000000" w:rsidRDefault="003E498D">
            <w:pPr>
              <w:contextualSpacing/>
              <w:jc w:val="right"/>
              <w:rPr>
                <w:rFonts w:ascii="Times New Roman" w:hAnsi="Times New Roman"/>
                <w:sz w:val="26"/>
                <w:szCs w:val="26"/>
              </w:rPr>
            </w:pPr>
            <w:r>
              <w:rPr>
                <w:rFonts w:ascii="Times New Roman" w:hAnsi="Times New Roman"/>
                <w:sz w:val="26"/>
                <w:szCs w:val="26"/>
              </w:rPr>
              <w:t>Графика № 18</w:t>
            </w:r>
          </w:p>
          <w:p w:rsidR="00000000" w:rsidRDefault="003E498D">
            <w:pPr>
              <w:contextualSpacing/>
              <w:jc w:val="center"/>
              <w:rPr>
                <w:rFonts w:ascii="Times New Roman" w:hAnsi="Times New Roman"/>
                <w:b/>
                <w:sz w:val="26"/>
                <w:szCs w:val="26"/>
              </w:rPr>
            </w:pPr>
            <w:r>
              <w:rPr>
                <w:rFonts w:ascii="Times New Roman" w:hAnsi="Times New Roman"/>
                <w:sz w:val="26"/>
                <w:szCs w:val="26"/>
              </w:rPr>
              <w:object w:dxaOrig="6970" w:dyaOrig="3319">
                <v:shape id="_x0000_i1050" type="#_x0000_t75" style="width:240pt;height:114.75pt;mso-wrap-style:square;mso-position-horizontal-relative:page;mso-position-vertical-relative:page" o:ole="">
                  <v:imagedata r:id="rId59" o:title=""/>
                </v:shape>
                <o:OLEObject Type="Embed" ProgID="PBrush" ShapeID="_x0000_i1050" DrawAspect="Content" ObjectID="_1448021987" r:id="rId60"/>
              </w:object>
            </w:r>
          </w:p>
        </w:tc>
      </w:tr>
    </w:tbl>
    <w:p w:rsidR="00000000" w:rsidRDefault="003E498D">
      <w:pPr>
        <w:contextualSpacing/>
        <w:jc w:val="both"/>
        <w:rPr>
          <w:rFonts w:ascii="Times New Roman" w:hAnsi="Times New Roman"/>
          <w:b/>
          <w:sz w:val="26"/>
          <w:szCs w:val="26"/>
        </w:rPr>
      </w:pPr>
    </w:p>
    <w:p w:rsidR="00000000" w:rsidRDefault="003E498D">
      <w:pPr>
        <w:contextualSpacing/>
        <w:jc w:val="both"/>
        <w:rPr>
          <w:rFonts w:ascii="Times New Roman" w:hAnsi="Times New Roman"/>
          <w:sz w:val="26"/>
          <w:szCs w:val="26"/>
        </w:rPr>
      </w:pPr>
      <w:r>
        <w:rPr>
          <w:rFonts w:ascii="Times New Roman" w:hAnsi="Times New Roman"/>
          <w:b/>
          <w:sz w:val="26"/>
          <w:szCs w:val="26"/>
        </w:rPr>
        <w:t>6) Коефициент на задлъжнялост</w:t>
      </w:r>
    </w:p>
    <w:p w:rsidR="00000000" w:rsidRDefault="003E498D">
      <w:pPr>
        <w:ind w:firstLine="708"/>
        <w:contextualSpacing/>
        <w:jc w:val="both"/>
        <w:rPr>
          <w:rFonts w:ascii="Times New Roman" w:hAnsi="Times New Roman"/>
          <w:sz w:val="26"/>
          <w:szCs w:val="26"/>
          <w:lang w:val="en-US"/>
        </w:rPr>
      </w:pPr>
      <w:r>
        <w:rPr>
          <w:rFonts w:ascii="Times New Roman" w:hAnsi="Times New Roman"/>
          <w:sz w:val="26"/>
          <w:szCs w:val="26"/>
        </w:rPr>
        <w:t xml:space="preserve"> За тригодишния период се отчитат съществени отклонения, особено за 2010г., когато „АКС Трейдинг“ ООД отчита 12,50 лв. задължения на 1 лв. капи</w:t>
      </w:r>
      <w:r>
        <w:rPr>
          <w:rFonts w:ascii="Times New Roman" w:hAnsi="Times New Roman"/>
          <w:sz w:val="26"/>
          <w:szCs w:val="26"/>
        </w:rPr>
        <w:t>тал. Поради факта, че ЕТ „Тони-ДВ Цветанка Иванова” има негативен собствен капитал, то стойностите на неговия коефициент са отрицателни. Макар през 2011г. да се отчита подобрение спрямо 2010г., то по отношение на 2009г. коефициентът е все още по-висок с по</w:t>
      </w:r>
      <w:r>
        <w:rPr>
          <w:rFonts w:ascii="Times New Roman" w:hAnsi="Times New Roman"/>
          <w:sz w:val="26"/>
          <w:szCs w:val="26"/>
        </w:rPr>
        <w:t>вече от два лева. (Приложение № 7)</w:t>
      </w:r>
    </w:p>
    <w:p w:rsidR="00000000" w:rsidRDefault="003E498D">
      <w:pPr>
        <w:ind w:firstLine="708"/>
        <w:contextualSpacing/>
        <w:jc w:val="both"/>
        <w:rPr>
          <w:rFonts w:ascii="Times New Roman" w:hAnsi="Times New Roman"/>
          <w:sz w:val="26"/>
          <w:szCs w:val="26"/>
          <w:lang w:val="en-US"/>
        </w:rPr>
      </w:pPr>
    </w:p>
    <w:tbl>
      <w:tblPr>
        <w:tblW w:w="0" w:type="auto"/>
        <w:tblLayout w:type="fixed"/>
        <w:tblLook w:val="0000" w:firstRow="0" w:lastRow="0" w:firstColumn="0" w:lastColumn="0" w:noHBand="0" w:noVBand="0"/>
      </w:tblPr>
      <w:tblGrid>
        <w:gridCol w:w="9212"/>
      </w:tblGrid>
      <w:tr w:rsidR="00000000">
        <w:tc>
          <w:tcPr>
            <w:tcW w:w="9212" w:type="dxa"/>
          </w:tcPr>
          <w:p w:rsidR="00000000" w:rsidRDefault="003E498D">
            <w:pPr>
              <w:contextualSpacing/>
              <w:jc w:val="right"/>
              <w:rPr>
                <w:rFonts w:ascii="Times New Roman" w:hAnsi="Times New Roman"/>
                <w:sz w:val="26"/>
                <w:szCs w:val="26"/>
              </w:rPr>
            </w:pPr>
            <w:r>
              <w:rPr>
                <w:rFonts w:ascii="Times New Roman" w:hAnsi="Times New Roman"/>
                <w:sz w:val="26"/>
                <w:szCs w:val="26"/>
              </w:rPr>
              <w:t>Графика № 19</w:t>
            </w:r>
          </w:p>
          <w:p w:rsidR="00000000" w:rsidRDefault="003E498D">
            <w:pPr>
              <w:contextualSpacing/>
              <w:jc w:val="center"/>
              <w:rPr>
                <w:rFonts w:ascii="Times New Roman" w:hAnsi="Times New Roman"/>
                <w:b/>
                <w:sz w:val="26"/>
                <w:szCs w:val="26"/>
              </w:rPr>
            </w:pPr>
            <w:r>
              <w:rPr>
                <w:rFonts w:ascii="Times New Roman" w:hAnsi="Times New Roman"/>
                <w:sz w:val="26"/>
                <w:szCs w:val="26"/>
              </w:rPr>
              <w:object w:dxaOrig="6420" w:dyaOrig="2850">
                <v:shape id="_x0000_i1051" type="#_x0000_t75" style="width:270pt;height:118.5pt;mso-wrap-style:square;mso-position-horizontal-relative:page;mso-position-vertical-relative:page" o:ole="">
                  <v:imagedata r:id="rId61" o:title=""/>
                </v:shape>
                <o:OLEObject Type="Embed" ProgID="PBrush" ShapeID="_x0000_i1051" DrawAspect="Content" ObjectID="_1448021988" r:id="rId62"/>
              </w:object>
            </w:r>
          </w:p>
        </w:tc>
      </w:tr>
    </w:tbl>
    <w:p w:rsidR="00000000" w:rsidRDefault="003E498D">
      <w:pPr>
        <w:contextualSpacing/>
        <w:jc w:val="both"/>
        <w:rPr>
          <w:rFonts w:ascii="Times New Roman" w:hAnsi="Times New Roman"/>
          <w:b/>
          <w:sz w:val="26"/>
          <w:szCs w:val="26"/>
        </w:rPr>
      </w:pPr>
    </w:p>
    <w:p w:rsidR="00000000" w:rsidRDefault="003E498D">
      <w:pPr>
        <w:contextualSpacing/>
        <w:jc w:val="both"/>
        <w:rPr>
          <w:rFonts w:ascii="Times New Roman" w:hAnsi="Times New Roman"/>
          <w:b/>
          <w:sz w:val="26"/>
          <w:szCs w:val="26"/>
        </w:rPr>
      </w:pPr>
      <w:r>
        <w:rPr>
          <w:rFonts w:ascii="Times New Roman" w:hAnsi="Times New Roman"/>
          <w:b/>
          <w:sz w:val="26"/>
          <w:szCs w:val="26"/>
        </w:rPr>
        <w:t>7) Съотношение на приходите от разпространение на печатни издания към стойността на закупените издания</w:t>
      </w:r>
    </w:p>
    <w:p w:rsidR="00000000" w:rsidRDefault="003E498D">
      <w:pPr>
        <w:ind w:firstLine="708"/>
        <w:contextualSpacing/>
        <w:jc w:val="both"/>
        <w:rPr>
          <w:rFonts w:ascii="Times New Roman" w:hAnsi="Times New Roman"/>
          <w:sz w:val="26"/>
          <w:szCs w:val="26"/>
          <w:lang w:val="en-US"/>
        </w:rPr>
      </w:pPr>
      <w:r>
        <w:rPr>
          <w:rFonts w:ascii="Times New Roman" w:hAnsi="Times New Roman"/>
          <w:sz w:val="26"/>
          <w:szCs w:val="26"/>
        </w:rPr>
        <w:t xml:space="preserve">КЗК изчисли границите на т.нар. </w:t>
      </w:r>
      <w:r>
        <w:rPr>
          <w:rFonts w:ascii="Times New Roman" w:hAnsi="Times New Roman"/>
          <w:i/>
          <w:sz w:val="26"/>
          <w:szCs w:val="26"/>
        </w:rPr>
        <w:t>добавена стойност</w:t>
      </w:r>
      <w:r>
        <w:rPr>
          <w:rFonts w:ascii="Times New Roman" w:hAnsi="Times New Roman"/>
          <w:sz w:val="26"/>
          <w:szCs w:val="26"/>
        </w:rPr>
        <w:t xml:space="preserve"> при продажбата на печатни издания</w:t>
      </w:r>
      <w:r>
        <w:rPr>
          <w:rFonts w:ascii="Times New Roman" w:hAnsi="Times New Roman"/>
          <w:sz w:val="26"/>
          <w:szCs w:val="26"/>
        </w:rPr>
        <w:t xml:space="preserve"> в тази група и установи, че най-високи са показателите на „Разпространение на печата“ АД, а най-ниски при „АКС Трейдинг“ ООД за 2009г. и 2010г. и при „Бояна-97“ ЕООД за 2011г. Този показател следва да индикира номиналните граници на печалба само от дейнос</w:t>
      </w:r>
      <w:r>
        <w:rPr>
          <w:rFonts w:ascii="Times New Roman" w:hAnsi="Times New Roman"/>
          <w:sz w:val="26"/>
          <w:szCs w:val="26"/>
        </w:rPr>
        <w:t>тта по разпространение, но без да отчита и тежестта на допълнителните разходи (наем, транспорт, заплати и др.),  и следователно, за да може предприятието да отчете поне нулева нетна печалба, то тези допълнителни разходни пера не би трябвало да надвишават п</w:t>
      </w:r>
      <w:r>
        <w:rPr>
          <w:rFonts w:ascii="Times New Roman" w:hAnsi="Times New Roman"/>
          <w:sz w:val="26"/>
          <w:szCs w:val="26"/>
        </w:rPr>
        <w:t>осочените граници, което за малките по обем търговци на дребно е предизвикателство с оглед на увеличаващите се разходи. (Приложение № 7).</w:t>
      </w:r>
    </w:p>
    <w:tbl>
      <w:tblPr>
        <w:tblW w:w="0" w:type="auto"/>
        <w:tblLayout w:type="fixed"/>
        <w:tblLook w:val="0000" w:firstRow="0" w:lastRow="0" w:firstColumn="0" w:lastColumn="0" w:noHBand="0" w:noVBand="0"/>
      </w:tblPr>
      <w:tblGrid>
        <w:gridCol w:w="9212"/>
      </w:tblGrid>
      <w:tr w:rsidR="00000000">
        <w:tc>
          <w:tcPr>
            <w:tcW w:w="9212" w:type="dxa"/>
          </w:tcPr>
          <w:p w:rsidR="00000000" w:rsidRDefault="003E498D">
            <w:pPr>
              <w:contextualSpacing/>
              <w:jc w:val="right"/>
              <w:rPr>
                <w:rFonts w:ascii="Times New Roman" w:hAnsi="Times New Roman"/>
                <w:sz w:val="26"/>
                <w:szCs w:val="26"/>
                <w:lang w:val="en-US"/>
              </w:rPr>
            </w:pPr>
          </w:p>
          <w:p w:rsidR="00000000" w:rsidRDefault="003E498D">
            <w:pPr>
              <w:contextualSpacing/>
              <w:jc w:val="right"/>
              <w:rPr>
                <w:rFonts w:ascii="Times New Roman" w:hAnsi="Times New Roman"/>
                <w:sz w:val="26"/>
                <w:szCs w:val="26"/>
                <w:lang w:val="en-US"/>
              </w:rPr>
            </w:pPr>
          </w:p>
          <w:p w:rsidR="00000000" w:rsidRDefault="003E498D">
            <w:pPr>
              <w:contextualSpacing/>
              <w:jc w:val="right"/>
              <w:rPr>
                <w:rFonts w:ascii="Times New Roman" w:hAnsi="Times New Roman"/>
                <w:sz w:val="26"/>
                <w:szCs w:val="26"/>
                <w:lang w:val="en-US"/>
              </w:rPr>
            </w:pPr>
          </w:p>
          <w:p w:rsidR="00000000" w:rsidRDefault="003E498D">
            <w:pPr>
              <w:contextualSpacing/>
              <w:jc w:val="right"/>
              <w:rPr>
                <w:rFonts w:ascii="Times New Roman" w:hAnsi="Times New Roman"/>
                <w:sz w:val="26"/>
                <w:szCs w:val="26"/>
                <w:lang w:val="en-US"/>
              </w:rPr>
            </w:pPr>
          </w:p>
          <w:p w:rsidR="00000000" w:rsidRDefault="003E498D">
            <w:pPr>
              <w:contextualSpacing/>
              <w:jc w:val="right"/>
              <w:rPr>
                <w:rFonts w:ascii="Times New Roman" w:hAnsi="Times New Roman"/>
                <w:sz w:val="26"/>
                <w:szCs w:val="26"/>
                <w:lang w:val="en-US"/>
              </w:rPr>
            </w:pPr>
          </w:p>
          <w:p w:rsidR="00000000" w:rsidRDefault="003E498D">
            <w:pPr>
              <w:contextualSpacing/>
              <w:rPr>
                <w:rFonts w:ascii="Times New Roman" w:hAnsi="Times New Roman"/>
                <w:sz w:val="26"/>
                <w:szCs w:val="26"/>
                <w:lang w:val="en-US"/>
              </w:rPr>
            </w:pPr>
          </w:p>
          <w:p w:rsidR="00000000" w:rsidRDefault="003E498D">
            <w:pPr>
              <w:contextualSpacing/>
              <w:jc w:val="right"/>
              <w:rPr>
                <w:rFonts w:ascii="Times New Roman" w:hAnsi="Times New Roman"/>
                <w:sz w:val="26"/>
                <w:szCs w:val="26"/>
              </w:rPr>
            </w:pPr>
            <w:r>
              <w:rPr>
                <w:rFonts w:ascii="Times New Roman" w:hAnsi="Times New Roman"/>
                <w:sz w:val="26"/>
                <w:szCs w:val="26"/>
              </w:rPr>
              <w:t>Графика № 20</w:t>
            </w:r>
          </w:p>
          <w:p w:rsidR="00000000" w:rsidRDefault="003E498D">
            <w:pPr>
              <w:contextualSpacing/>
              <w:jc w:val="center"/>
              <w:rPr>
                <w:rFonts w:ascii="Times New Roman" w:hAnsi="Times New Roman"/>
                <w:b/>
                <w:sz w:val="26"/>
                <w:szCs w:val="26"/>
              </w:rPr>
            </w:pPr>
            <w:r>
              <w:rPr>
                <w:rFonts w:ascii="Times New Roman" w:hAnsi="Times New Roman"/>
                <w:sz w:val="26"/>
                <w:szCs w:val="26"/>
              </w:rPr>
              <w:object w:dxaOrig="8939" w:dyaOrig="4200">
                <v:shape id="_x0000_i1052" type="#_x0000_t75" style="width:332.25pt;height:154.5pt;mso-wrap-style:square;mso-position-horizontal-relative:page;mso-position-vertical-relative:page" o:ole="">
                  <v:imagedata r:id="rId63" o:title=""/>
                </v:shape>
                <o:OLEObject Type="Embed" ProgID="PBrush" ShapeID="_x0000_i1052" DrawAspect="Content" ObjectID="_1448021989" r:id="rId64"/>
              </w:object>
            </w:r>
          </w:p>
        </w:tc>
      </w:tr>
    </w:tbl>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Данните в графиката още веднъж показват, че когато разпространителят притежава/</w:t>
      </w:r>
      <w:r>
        <w:rPr>
          <w:rFonts w:ascii="Times New Roman" w:hAnsi="Times New Roman"/>
          <w:sz w:val="26"/>
          <w:szCs w:val="26"/>
        </w:rPr>
        <w:t>експлоатира крайни пунктове за продажба и в по-голям обхват (дори в рамките на едно населено място), съотношението между приходите от продажба на печатни издания и стойността на закупените издания е по-голямо. Пример за това са резултатите на „Разпростране</w:t>
      </w:r>
      <w:r>
        <w:rPr>
          <w:rFonts w:ascii="Times New Roman" w:hAnsi="Times New Roman"/>
          <w:sz w:val="26"/>
          <w:szCs w:val="26"/>
        </w:rPr>
        <w:t xml:space="preserve">ние на печата“ АД, за разлика от „Бояна 97“ ЕООД, което дружество няма крайни пунктове за продажба.  </w:t>
      </w:r>
    </w:p>
    <w:p w:rsidR="00000000" w:rsidRDefault="003E498D">
      <w:pPr>
        <w:contextualSpacing/>
        <w:jc w:val="both"/>
        <w:rPr>
          <w:rFonts w:ascii="Times New Roman" w:hAnsi="Times New Roman"/>
          <w:sz w:val="26"/>
          <w:szCs w:val="26"/>
        </w:rPr>
      </w:pPr>
    </w:p>
    <w:p w:rsidR="00000000" w:rsidRDefault="003E498D">
      <w:pPr>
        <w:pStyle w:val="Heading2"/>
        <w:spacing w:before="0"/>
        <w:contextualSpacing/>
        <w:rPr>
          <w:rFonts w:ascii="Times New Roman" w:hAnsi="Times New Roman"/>
        </w:rPr>
      </w:pPr>
      <w:r>
        <w:rPr>
          <w:rFonts w:ascii="Times New Roman" w:hAnsi="Times New Roman"/>
          <w:color w:val="auto"/>
        </w:rPr>
        <w:lastRenderedPageBreak/>
        <w:t>4.5 Анализ на договорните отношения по веригата издател-разпространител на едро-разпространител на дребно</w:t>
      </w:r>
    </w:p>
    <w:p w:rsidR="00000000" w:rsidRDefault="003E498D">
      <w:pPr>
        <w:pStyle w:val="NoSpacing"/>
        <w:ind w:left="1012"/>
        <w:contextualSpacing/>
        <w:jc w:val="both"/>
        <w:rPr>
          <w:rFonts w:ascii="Times New Roman" w:hAnsi="Times New Roman"/>
          <w:i/>
          <w:sz w:val="26"/>
          <w:szCs w:val="26"/>
        </w:rPr>
      </w:pPr>
    </w:p>
    <w:p w:rsidR="00000000" w:rsidRDefault="003E498D">
      <w:pPr>
        <w:pStyle w:val="Heading3"/>
        <w:contextualSpacing/>
        <w:jc w:val="both"/>
        <w:rPr>
          <w:sz w:val="26"/>
          <w:szCs w:val="26"/>
          <w:u w:val="none"/>
          <w:lang w:val="en-US"/>
        </w:rPr>
      </w:pPr>
      <w:r>
        <w:rPr>
          <w:sz w:val="26"/>
          <w:szCs w:val="26"/>
          <w:u w:val="none"/>
        </w:rPr>
        <w:t>4.5.1 Договорни отношения между издателите и р</w:t>
      </w:r>
      <w:r>
        <w:rPr>
          <w:sz w:val="26"/>
          <w:szCs w:val="26"/>
          <w:u w:val="none"/>
        </w:rPr>
        <w:t xml:space="preserve">азпространителите за анализирания период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Запитаните дружества посочват, че уреждат своите търговски отношения чрез договори за покупко-продажба и разпространение на печатни издания или чрез договори за консигнация, както и чрез предплатен абонамент. Стран</w:t>
      </w:r>
      <w:r>
        <w:rPr>
          <w:rFonts w:ascii="Times New Roman" w:hAnsi="Times New Roman"/>
          <w:sz w:val="26"/>
          <w:szCs w:val="26"/>
        </w:rPr>
        <w:t>и по тези договори обичайно са издателите и дистрибуторите на едро, но не съществуват ограничения търговци на дребно също да сключват договори директно с издателите.  От представената информация може да се заключи, че по-голямата част от разпространителите</w:t>
      </w:r>
      <w:r>
        <w:rPr>
          <w:rFonts w:ascii="Times New Roman" w:hAnsi="Times New Roman"/>
          <w:sz w:val="26"/>
          <w:szCs w:val="26"/>
        </w:rPr>
        <w:t xml:space="preserve"> на едро имат и собствени/наети крайни пунктове за продажба на печатни издания.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Съгласно представените копия на договори за разпространение може да се заключи, че издателите имат типови договори, в които са залегнали общите обявени от тях условия или тези </w:t>
      </w:r>
      <w:r>
        <w:rPr>
          <w:rFonts w:ascii="Times New Roman" w:hAnsi="Times New Roman"/>
          <w:sz w:val="26"/>
          <w:szCs w:val="26"/>
        </w:rPr>
        <w:t xml:space="preserve">условия са  приложение към договора (например </w:t>
      </w:r>
      <w:r>
        <w:rPr>
          <w:rFonts w:ascii="Times New Roman" w:hAnsi="Times New Roman"/>
        </w:rPr>
        <w:t>(...)</w:t>
      </w:r>
      <w:r>
        <w:rPr>
          <w:rFonts w:ascii="Times New Roman" w:hAnsi="Times New Roman"/>
        </w:rPr>
        <w:sym w:font="Symbol" w:char="F02A"/>
      </w:r>
      <w:r>
        <w:rPr>
          <w:rFonts w:ascii="Times New Roman" w:hAnsi="Times New Roman"/>
          <w:sz w:val="26"/>
          <w:szCs w:val="26"/>
        </w:rPr>
        <w:t>). Разликите в договорите с отделните разпространители са свеждат единствено до размера на договорената отстъпка или максималния процент допустим брак нереализирана продукция (за издателите, определящи та</w:t>
      </w:r>
      <w:r>
        <w:rPr>
          <w:rFonts w:ascii="Times New Roman" w:hAnsi="Times New Roman"/>
          <w:sz w:val="26"/>
          <w:szCs w:val="26"/>
        </w:rPr>
        <w:t xml:space="preserve">къв %) , които условия се договорят индивидуално.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 някои от отговорите на разпространителите (</w:t>
      </w:r>
      <w:r>
        <w:rPr>
          <w:rFonts w:ascii="Times New Roman" w:hAnsi="Times New Roman"/>
        </w:rPr>
        <w:t>(...)</w:t>
      </w:r>
      <w:r>
        <w:rPr>
          <w:rFonts w:ascii="Times New Roman" w:hAnsi="Times New Roman"/>
        </w:rPr>
        <w:sym w:font="Symbol" w:char="F02A"/>
      </w:r>
      <w:r>
        <w:rPr>
          <w:rFonts w:ascii="Times New Roman" w:hAnsi="Times New Roman"/>
          <w:sz w:val="26"/>
          <w:szCs w:val="26"/>
        </w:rPr>
        <w:t>) се посочва, че през последната година връщането на нереализираната продукция на почти всички издания е неограничено, като причините за това са влошената</w:t>
      </w:r>
      <w:r>
        <w:rPr>
          <w:rFonts w:ascii="Times New Roman" w:hAnsi="Times New Roman"/>
          <w:sz w:val="26"/>
          <w:szCs w:val="26"/>
        </w:rPr>
        <w:t xml:space="preserve"> бизнес среда, чувствителното понижаване на обема на продажбите и повишената междуфирмена задлъжнялост. Максимални проценти нереализирана продукция има за изданията –сп. Бурда и Лик; в.“Еврофутбол (определя до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брак), в. Трета възраст до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w:t>
      </w:r>
      <w:r>
        <w:rPr>
          <w:rFonts w:ascii="Times New Roman" w:hAnsi="Times New Roman"/>
          <w:sz w:val="26"/>
          <w:szCs w:val="26"/>
        </w:rPr>
        <w:t xml:space="preserve">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О</w:t>
      </w:r>
      <w:r>
        <w:rPr>
          <w:rFonts w:ascii="Times New Roman" w:hAnsi="Times New Roman"/>
          <w:sz w:val="26"/>
          <w:szCs w:val="26"/>
        </w:rPr>
        <w:t xml:space="preserve">т анкетираните издатели само „Конкурент нюз“ ООД, който е издател на регионален вестник във Враца, не сключва договори със своите разпространители, тъй като до момента не е срещал проблеми при работата с тях. </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rPr>
        <w:t>Някои от издателите работят с генерални/осн</w:t>
      </w:r>
      <w:r>
        <w:rPr>
          <w:rFonts w:ascii="Times New Roman" w:hAnsi="Times New Roman"/>
          <w:sz w:val="26"/>
          <w:szCs w:val="26"/>
        </w:rPr>
        <w:t>овни дистрибутори (от първо ниво), които доставят печатните издания на останалите разпространители (от второ ниво).  Към момента е получена информация, че такива ексклузивни права са предоставени на: „Агенция Стрела“ ЕООД – за изданията на „Медийна група Б</w:t>
      </w:r>
      <w:r>
        <w:rPr>
          <w:rFonts w:ascii="Times New Roman" w:hAnsi="Times New Roman"/>
          <w:sz w:val="26"/>
          <w:szCs w:val="26"/>
        </w:rPr>
        <w:t>ългария холдинг“ ООД, „РВР“ ООД – за вестник Атака и „Национална дистрибуция“ ООД – за вестник Уикенд.</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b/>
          <w:sz w:val="26"/>
          <w:szCs w:val="26"/>
        </w:rPr>
        <w:t>Обичайният срок</w:t>
      </w:r>
      <w:r>
        <w:rPr>
          <w:rFonts w:ascii="Times New Roman" w:hAnsi="Times New Roman"/>
          <w:sz w:val="26"/>
          <w:szCs w:val="26"/>
        </w:rPr>
        <w:t>, за който издателите сключват договори за разпространение на техните издания, е една година. С договорите е установено изискване получен</w:t>
      </w:r>
      <w:r>
        <w:rPr>
          <w:rFonts w:ascii="Times New Roman" w:hAnsi="Times New Roman"/>
          <w:sz w:val="26"/>
          <w:szCs w:val="26"/>
        </w:rPr>
        <w:t>ите тиражи да се удостоверяват с подпис на рампови документи (стокови разписки), а получените тиражи по маршрут – с подпис върху доставен документ (стокова разписка/приемо-предавателен протокол), като на база на тези документи се извършва отчетността на пр</w:t>
      </w:r>
      <w:r>
        <w:rPr>
          <w:rFonts w:ascii="Times New Roman" w:hAnsi="Times New Roman"/>
          <w:sz w:val="26"/>
          <w:szCs w:val="26"/>
        </w:rPr>
        <w:t xml:space="preserve">едоставените и реализирани количества и на върнатия брак (протокол за брак). Принципът, възприет в повечето договори, е че от предния ден преди отпечатване на </w:t>
      </w:r>
      <w:r>
        <w:rPr>
          <w:rFonts w:ascii="Times New Roman" w:hAnsi="Times New Roman"/>
          <w:sz w:val="26"/>
          <w:szCs w:val="26"/>
        </w:rPr>
        <w:lastRenderedPageBreak/>
        <w:t>изданието се заявява с писмена заявка количеството, което ще бъде доставено, или се прави седмичн</w:t>
      </w:r>
      <w:r>
        <w:rPr>
          <w:rFonts w:ascii="Times New Roman" w:hAnsi="Times New Roman"/>
          <w:sz w:val="26"/>
          <w:szCs w:val="26"/>
        </w:rPr>
        <w:t>а и месечна заявка.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За анализирания период няма данни за </w:t>
      </w:r>
      <w:r>
        <w:rPr>
          <w:rFonts w:ascii="Times New Roman" w:hAnsi="Times New Roman"/>
          <w:b/>
          <w:sz w:val="26"/>
          <w:szCs w:val="26"/>
        </w:rPr>
        <w:t>прекратени договори</w:t>
      </w:r>
      <w:r>
        <w:rPr>
          <w:rFonts w:ascii="Times New Roman" w:hAnsi="Times New Roman"/>
          <w:sz w:val="26"/>
          <w:szCs w:val="26"/>
        </w:rPr>
        <w:t xml:space="preserve">, поради задлъжнялост към издателите или  поради нелоялно търговско поведение. Налице е прекратяване на договори с разпространители в резултат на спиране на дейността или смяна на </w:t>
      </w:r>
      <w:r>
        <w:rPr>
          <w:rFonts w:ascii="Times New Roman" w:hAnsi="Times New Roman"/>
          <w:sz w:val="26"/>
          <w:szCs w:val="26"/>
        </w:rPr>
        <w:t xml:space="preserve">разпространител.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В договорите не се съдържат ограничения за търговците на едро и търговците на дребно да дистрибутират единствено изданията на даден издател или само на определена издателска група и за определена територия.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Почти всички издатели посочв</w:t>
      </w:r>
      <w:r>
        <w:rPr>
          <w:rFonts w:ascii="Times New Roman" w:hAnsi="Times New Roman"/>
          <w:sz w:val="26"/>
          <w:szCs w:val="26"/>
        </w:rPr>
        <w:t>ат, че нямат практика да дават ексклузивни права за разпространението на своите издания на определена дистрибуторска фирма.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Видно от клаузите, съдържащи се в предоставените договори, издателите са независими от своите дистрибутори по отношение на промени, </w:t>
      </w:r>
      <w:r>
        <w:rPr>
          <w:rFonts w:ascii="Times New Roman" w:hAnsi="Times New Roman"/>
          <w:sz w:val="26"/>
          <w:szCs w:val="26"/>
        </w:rPr>
        <w:t xml:space="preserve">свързани с коричната цена. Относно абонаментните цени и дни на издаване, също имат свобода на определяне, но са задължени да ги уведомяват за тези промени обичайно две седмици предварително. </w:t>
      </w:r>
    </w:p>
    <w:p w:rsidR="00000000" w:rsidRDefault="003E498D">
      <w:pPr>
        <w:pStyle w:val="NoSpacing"/>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Търговски отстъпки, предоставяни по веригата издател-дистрибуто</w:t>
      </w:r>
      <w:r>
        <w:rPr>
          <w:rFonts w:ascii="Times New Roman" w:hAnsi="Times New Roman"/>
          <w:sz w:val="26"/>
          <w:szCs w:val="26"/>
          <w:u w:val="single"/>
        </w:rPr>
        <w:t>р на едро-дистрибутор на дребно</w:t>
      </w:r>
    </w:p>
    <w:p w:rsidR="00000000" w:rsidRDefault="003E498D">
      <w:pPr>
        <w:pStyle w:val="NoSpacing"/>
        <w:ind w:firstLine="708"/>
        <w:contextualSpacing/>
        <w:jc w:val="both"/>
        <w:rPr>
          <w:rFonts w:ascii="Times New Roman" w:hAnsi="Times New Roman"/>
          <w:sz w:val="26"/>
          <w:szCs w:val="26"/>
          <w:lang w:val="en-US"/>
        </w:rPr>
      </w:pPr>
      <w:r>
        <w:rPr>
          <w:rFonts w:ascii="Times New Roman" w:hAnsi="Times New Roman"/>
          <w:sz w:val="26"/>
          <w:szCs w:val="26"/>
        </w:rPr>
        <w:t>Търговската отстъпка по веригата издател - дистрибутор на едро -дистрибутор на дребно се определя като процент от коричната цена на изданието след приспадане на ДДС. Видно от клаузите на договорите за доставка на ежедневници</w:t>
      </w:r>
      <w:r>
        <w:rPr>
          <w:rFonts w:ascii="Times New Roman" w:hAnsi="Times New Roman"/>
          <w:sz w:val="26"/>
          <w:szCs w:val="26"/>
        </w:rPr>
        <w:t xml:space="preserve"> и други печатни издания факторите, които оказват влияние върху размера на ТО, са: видът и периодичността на изданието, пунктът</w:t>
      </w:r>
      <w:r>
        <w:rPr>
          <w:rFonts w:ascii="Times New Roman" w:hAnsi="Times New Roman"/>
          <w:color w:val="4F81BD"/>
          <w:sz w:val="26"/>
          <w:szCs w:val="26"/>
        </w:rPr>
        <w:t xml:space="preserve"> </w:t>
      </w:r>
      <w:r>
        <w:rPr>
          <w:rFonts w:ascii="Times New Roman" w:hAnsi="Times New Roman"/>
          <w:sz w:val="26"/>
          <w:szCs w:val="26"/>
        </w:rPr>
        <w:t>за получаване на изданията, количеството разпространяван тираж, брой на обслужваните търговски пунктове; транспортните разходи з</w:t>
      </w:r>
      <w:r>
        <w:rPr>
          <w:rFonts w:ascii="Times New Roman" w:hAnsi="Times New Roman"/>
          <w:sz w:val="26"/>
          <w:szCs w:val="26"/>
        </w:rPr>
        <w:t>а доставка, отдалечеността на регионите, в които се разпространяват, начин на плащане и др. Съгласно получените становища (Булгарпрес ООД) най-висока е търговската отстъпка, когато се работи директно с издател и тиражът се взима от мястото на печат.</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 прак</w:t>
      </w:r>
      <w:r>
        <w:rPr>
          <w:rFonts w:ascii="Times New Roman" w:hAnsi="Times New Roman"/>
          <w:sz w:val="26"/>
          <w:szCs w:val="26"/>
        </w:rPr>
        <w:t xml:space="preserve">тиката се използва както транспорт на доставчика, така и на клиента, като това обстоятелство се отразява при определянето на цените при продажби и отстъпки. Търговската отстъпка се договоря отделно от транспорта. В някои договори се посочва, че таксата за </w:t>
      </w:r>
      <w:r>
        <w:rPr>
          <w:rFonts w:ascii="Times New Roman" w:hAnsi="Times New Roman"/>
          <w:sz w:val="26"/>
          <w:szCs w:val="26"/>
        </w:rPr>
        <w:t xml:space="preserve">транспортиране е в границите на 2%- 4% от коричната цена, според транспортната зона – 2% до 150 км от София, 3% - до 300 км от София и 4% - над 300 км.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За анализирания период и на база предоставената информация може да се заключи, че е налице промяна в по</w:t>
      </w:r>
      <w:r>
        <w:rPr>
          <w:rFonts w:ascii="Times New Roman" w:hAnsi="Times New Roman"/>
          <w:sz w:val="26"/>
          <w:szCs w:val="26"/>
        </w:rPr>
        <w:t>сока увеличаване на коричната цена само при някои от издателите на вестници и списания. Като причини се изтъкват увеличаване обема на изданието (в-к Уикенд от 0,90 лв. на 1,00 лв. от м. август 2009 г.), промяна има и в цената на  сп. Уикенд  за градината о</w:t>
      </w:r>
      <w:r>
        <w:rPr>
          <w:rFonts w:ascii="Times New Roman" w:hAnsi="Times New Roman"/>
          <w:sz w:val="26"/>
          <w:szCs w:val="26"/>
        </w:rPr>
        <w:t>т 0,99 лв. на 1,29 лв. от м. март 2011 г. „Дума-2008“ ЕООД също е променяло коричната цена на издавания национален ежедневник, като към м. септември 2009 г. тя е била 0,50 лв., а от. м. юни 2011 г. до края на същата година достига 0,90 лв.   Изменението на</w:t>
      </w:r>
      <w:r>
        <w:rPr>
          <w:rFonts w:ascii="Times New Roman" w:hAnsi="Times New Roman"/>
          <w:sz w:val="26"/>
          <w:szCs w:val="26"/>
        </w:rPr>
        <w:t xml:space="preserve"> цената е както следва:  от м.януари-до м. септември 2009 г. (0.50 лв.); от м. октомври до м.ноември 2009 г. (0,57 лв.); от м.декември до м.януари 2010 г. (0,63 </w:t>
      </w:r>
      <w:r>
        <w:rPr>
          <w:rFonts w:ascii="Times New Roman" w:hAnsi="Times New Roman"/>
          <w:sz w:val="26"/>
          <w:szCs w:val="26"/>
        </w:rPr>
        <w:lastRenderedPageBreak/>
        <w:t>лв.); от м. февруари 2010 г.  до м.април 2010 г. (0,65 лв.); от м.май-до м. октомври 2010  (0,7</w:t>
      </w:r>
      <w:r>
        <w:rPr>
          <w:rFonts w:ascii="Times New Roman" w:hAnsi="Times New Roman"/>
          <w:sz w:val="26"/>
          <w:szCs w:val="26"/>
        </w:rPr>
        <w:t>0 лв.); от м. ноември 2010 г.- до м.юни 2011 г. (0,77 лв.) и от. м.юни 2011 г. до края на 2011 г. (0,90 лв.). Издателят посочва, че при ценообразуването (формирането на единичната цена на изданието) е взета предвид фактическата себестойност на изданието, а</w:t>
      </w:r>
      <w:r>
        <w:rPr>
          <w:rFonts w:ascii="Times New Roman" w:hAnsi="Times New Roman"/>
          <w:sz w:val="26"/>
          <w:szCs w:val="26"/>
        </w:rPr>
        <w:t xml:space="preserve"> също така са били анализирани и цените на конкурентите на пазара. Промените във фактическата себестойност, във външната среда, наличните конкуренти на пазара и съществуващите нагласи и ценова чувствителност на потребителите са сред основните фактори, коит</w:t>
      </w:r>
      <w:r>
        <w:rPr>
          <w:rFonts w:ascii="Times New Roman" w:hAnsi="Times New Roman"/>
          <w:sz w:val="26"/>
          <w:szCs w:val="26"/>
        </w:rPr>
        <w:t>о определят ценовата му политика.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Съгласно получената от анкетираните издатели и разпространители информация, за анализирания период не са договаряни промени в размера на ТО между участниците на вертикално свързаните пазари. Такава промяна в ТО има към дис</w:t>
      </w:r>
      <w:r>
        <w:rPr>
          <w:rFonts w:ascii="Times New Roman" w:hAnsi="Times New Roman"/>
          <w:sz w:val="26"/>
          <w:szCs w:val="26"/>
        </w:rPr>
        <w:t xml:space="preserve">трибутори, чийто основен канал на разпространение е абонаментът (съгласно справка на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w:t>
      </w:r>
    </w:p>
    <w:p w:rsidR="00000000" w:rsidRDefault="003E498D">
      <w:pPr>
        <w:pStyle w:val="NoSpacing"/>
        <w:ind w:firstLine="708"/>
        <w:contextualSpacing/>
        <w:jc w:val="both"/>
        <w:rPr>
          <w:rFonts w:ascii="Times New Roman" w:hAnsi="Times New Roman"/>
          <w:sz w:val="26"/>
          <w:szCs w:val="26"/>
          <w:lang w:val="en-US"/>
        </w:rPr>
      </w:pPr>
      <w:r>
        <w:rPr>
          <w:rFonts w:ascii="Times New Roman" w:hAnsi="Times New Roman"/>
          <w:sz w:val="26"/>
          <w:szCs w:val="26"/>
        </w:rPr>
        <w:t xml:space="preserve">В хода на извършване на секторния анализ, „Сега“ АД е определяло ТО  в зависимост  от количеството разпространяван тираж в границите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но не повече от </w:t>
      </w:r>
      <w:r>
        <w:rPr>
          <w:rFonts w:ascii="Times New Roman" w:hAnsi="Times New Roman"/>
        </w:rPr>
        <w:t>(...</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защото по-голяма отстъпка би била икономически неизгодна за издателя.  „Новинар Медиа“ ЕАД определя отстъпка в размер на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като единствено за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в периода 2009 г.-2010 г. е била в размер на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а през 2011 г. –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w:t>
      </w:r>
      <w:r>
        <w:rPr>
          <w:rFonts w:ascii="Times New Roman" w:hAnsi="Times New Roman"/>
          <w:sz w:val="26"/>
          <w:szCs w:val="26"/>
        </w:rPr>
        <w:t xml:space="preserve"> „Ню Медиа Груп“ АД з</w:t>
      </w:r>
      <w:r>
        <w:rPr>
          <w:rFonts w:ascii="Times New Roman" w:hAnsi="Times New Roman"/>
          <w:sz w:val="26"/>
          <w:szCs w:val="26"/>
        </w:rPr>
        <w:t xml:space="preserve">а издаваните от нея вестници и списания предоставя ТО в границите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в зависимост от начина на разпространение (ръчна продажба, абонамент, консигнация); „Торнадо Медиа“ ООД е определил ТО в размер на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на основните си дистрибутори и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на </w:t>
      </w:r>
      <w:r>
        <w:rPr>
          <w:rFonts w:ascii="Times New Roman" w:hAnsi="Times New Roman"/>
        </w:rPr>
        <w:t>(..</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които разпространяват изданието чрез абонамент, както и на регионалния разпространител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„Класа България“ ЕАД предоставя ТО на основните си дистрибутори  в размер на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а на по-малките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w:t>
      </w:r>
      <w:r>
        <w:rPr>
          <w:rFonts w:ascii="Times New Roman" w:hAnsi="Times New Roman"/>
          <w:sz w:val="26"/>
          <w:szCs w:val="26"/>
        </w:rPr>
        <w:t xml:space="preserve"> като на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отстъпката е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а на </w:t>
      </w:r>
      <w:r>
        <w:rPr>
          <w:rFonts w:ascii="Times New Roman" w:hAnsi="Times New Roman"/>
        </w:rPr>
        <w:t>(...)</w:t>
      </w:r>
      <w:r>
        <w:rPr>
          <w:rFonts w:ascii="Times New Roman" w:hAnsi="Times New Roman"/>
        </w:rPr>
        <w:sym w:font="Symbol" w:char="F02A"/>
      </w:r>
      <w:r>
        <w:rPr>
          <w:rFonts w:ascii="Times New Roman" w:hAnsi="Times New Roman"/>
          <w:sz w:val="26"/>
          <w:szCs w:val="26"/>
        </w:rPr>
        <w:t>п</w:t>
      </w:r>
      <w:r>
        <w:rPr>
          <w:rFonts w:ascii="Times New Roman" w:hAnsi="Times New Roman"/>
          <w:sz w:val="26"/>
          <w:szCs w:val="26"/>
        </w:rPr>
        <w:t>рез 2009 г.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а за 2010 г-2011 г. става </w:t>
      </w:r>
      <w:r>
        <w:rPr>
          <w:rFonts w:ascii="Times New Roman" w:hAnsi="Times New Roman"/>
        </w:rPr>
        <w:t>(...)</w:t>
      </w:r>
      <w:r>
        <w:rPr>
          <w:rFonts w:ascii="Times New Roman" w:hAnsi="Times New Roman"/>
        </w:rPr>
        <w:sym w:font="Symbol" w:char="F02A"/>
      </w:r>
      <w:r>
        <w:rPr>
          <w:rFonts w:ascii="Times New Roman" w:hAnsi="Times New Roman"/>
          <w:color w:val="4F81BD"/>
          <w:sz w:val="26"/>
          <w:szCs w:val="26"/>
        </w:rPr>
        <w:t xml:space="preserve">.   </w:t>
      </w:r>
      <w:r>
        <w:rPr>
          <w:rFonts w:ascii="Times New Roman" w:hAnsi="Times New Roman"/>
          <w:sz w:val="26"/>
          <w:szCs w:val="26"/>
        </w:rPr>
        <w:t xml:space="preserve">Търговската отстъпка на „Стандарт Нюз“ АД, съгласно данни, предоставени от разпространителите, е в границите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за по-големите дистрибутори (напр.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и между </w:t>
      </w:r>
      <w:r>
        <w:rPr>
          <w:rFonts w:ascii="Times New Roman" w:hAnsi="Times New Roman"/>
        </w:rPr>
        <w:t>(...)</w:t>
      </w:r>
      <w:r>
        <w:rPr>
          <w:rFonts w:ascii="Times New Roman" w:hAnsi="Times New Roman"/>
        </w:rPr>
        <w:sym w:font="Symbol" w:char="F02A"/>
      </w:r>
      <w:r>
        <w:rPr>
          <w:rFonts w:ascii="Times New Roman" w:hAnsi="Times New Roman"/>
          <w:sz w:val="26"/>
          <w:szCs w:val="26"/>
        </w:rPr>
        <w:t>за по-малките регионални р</w:t>
      </w:r>
      <w:r>
        <w:rPr>
          <w:rFonts w:ascii="Times New Roman" w:hAnsi="Times New Roman"/>
          <w:sz w:val="26"/>
          <w:szCs w:val="26"/>
        </w:rPr>
        <w:t xml:space="preserve">азпространители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Групата Икономедиа за издаваните от нея ежедневник (в.Дневник/Капитал Дейли) и седмичник в. Капитал предоставя ТО на всички свои дистрибутори в размер на </w:t>
      </w:r>
      <w:r>
        <w:rPr>
          <w:rFonts w:ascii="Times New Roman" w:hAnsi="Times New Roman"/>
        </w:rPr>
        <w:t>(...)</w:t>
      </w:r>
      <w:r>
        <w:rPr>
          <w:rFonts w:ascii="Times New Roman" w:hAnsi="Times New Roman"/>
        </w:rPr>
        <w:sym w:font="Symbol" w:char="F02A"/>
      </w:r>
      <w:r>
        <w:rPr>
          <w:rFonts w:ascii="Times New Roman" w:hAnsi="Times New Roman"/>
          <w:sz w:val="26"/>
          <w:szCs w:val="26"/>
        </w:rPr>
        <w:t>, независимо от разпределения/реализиран от тях тираж и обхват на разпро</w:t>
      </w:r>
      <w:r>
        <w:rPr>
          <w:rFonts w:ascii="Times New Roman" w:hAnsi="Times New Roman"/>
          <w:sz w:val="26"/>
          <w:szCs w:val="26"/>
        </w:rPr>
        <w:t xml:space="preserve">странение, а за отпечатваните списания –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За издавания от „Банкер“ ООД вестник „Банкеръ“ ТО варира в границите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За анализирания период „Агенция Стрела“ ЕООД предоставя ТО на своите клиенти/разпространители на печатните издания на Групата МГБ</w:t>
      </w:r>
      <w:r>
        <w:rPr>
          <w:rFonts w:ascii="Times New Roman" w:hAnsi="Times New Roman"/>
          <w:sz w:val="26"/>
          <w:szCs w:val="26"/>
        </w:rPr>
        <w:t xml:space="preserve">Х в размер на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за вестниците (като ТО за седмичника „България Днес“ е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w:t>
      </w:r>
      <w:r>
        <w:rPr>
          <w:rFonts w:ascii="Times New Roman" w:hAnsi="Times New Roman"/>
          <w:sz w:val="26"/>
          <w:szCs w:val="26"/>
        </w:rPr>
        <w:t xml:space="preserve"> и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за списанията. Съответно процентът ТО, който получава дружеството от издателите в Групата, е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за вестниците и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за списанията. Съгласно представено в КЗ</w:t>
      </w:r>
      <w:r>
        <w:rPr>
          <w:rFonts w:ascii="Times New Roman" w:hAnsi="Times New Roman"/>
          <w:sz w:val="26"/>
          <w:szCs w:val="26"/>
        </w:rPr>
        <w:t xml:space="preserve">К писмо № 76/03.07.2012 г. на Агенция Стрела до издателите от Групата МГБХ, дружеството след подписване на договори с по-големите фирми-разпространители на печатни издания започва да работи на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ТО и съответно иска завишаване на предоставяната от тях </w:t>
      </w:r>
      <w:r>
        <w:rPr>
          <w:rFonts w:ascii="Times New Roman" w:hAnsi="Times New Roman"/>
          <w:sz w:val="26"/>
          <w:szCs w:val="26"/>
        </w:rPr>
        <w:t xml:space="preserve">ТО с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 xml:space="preserve"> </w:t>
      </w:r>
      <w:r>
        <w:rPr>
          <w:rFonts w:ascii="Times New Roman" w:hAnsi="Times New Roman"/>
          <w:sz w:val="26"/>
          <w:szCs w:val="26"/>
        </w:rPr>
        <w:t xml:space="preserve">пункта, съответно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за вестниците и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за списанията. Дружеството не е предоставило информация за получаваната и предоставена ТО от други </w:t>
      </w:r>
      <w:r>
        <w:rPr>
          <w:rFonts w:ascii="Times New Roman" w:hAnsi="Times New Roman"/>
          <w:sz w:val="26"/>
          <w:szCs w:val="26"/>
        </w:rPr>
        <w:lastRenderedPageBreak/>
        <w:t>разпространители/издатели, от които закупува други печатни издания извън тези на групата МГБХ.</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w:t>
      </w:r>
      <w:r>
        <w:rPr>
          <w:rFonts w:ascii="Times New Roman" w:hAnsi="Times New Roman"/>
          <w:sz w:val="26"/>
          <w:szCs w:val="26"/>
        </w:rPr>
        <w:t>едвид разнообразието от заглавия и тяхната периодичност, както и вариацията на % ТО, която получава, съответно предоставя разпространителят в зависимост от количеството доставен тираж и нивото на дистрибуция, КЗК изиска да бъде предоставена информация общо</w:t>
      </w:r>
      <w:r>
        <w:rPr>
          <w:rFonts w:ascii="Times New Roman" w:hAnsi="Times New Roman"/>
          <w:sz w:val="26"/>
          <w:szCs w:val="26"/>
        </w:rPr>
        <w:t xml:space="preserve"> за получената и съответно предоставена надолу по веригата ТО от коричната цена на всички разпространявани от тях издания в стойностно изражение. Една част от запитаните участници не предоставиха такава информация, а данните в получените отговори от други </w:t>
      </w:r>
      <w:r>
        <w:rPr>
          <w:rFonts w:ascii="Times New Roman" w:hAnsi="Times New Roman"/>
          <w:sz w:val="26"/>
          <w:szCs w:val="26"/>
        </w:rPr>
        <w:t xml:space="preserve">бяха непълни, което възпрепятства Комисията да направи общовалидни заключения за осреднения размер получена/предоставена ТО. </w:t>
      </w:r>
    </w:p>
    <w:p w:rsidR="00000000" w:rsidRDefault="003E498D">
      <w:pPr>
        <w:pStyle w:val="NoSpacing"/>
        <w:ind w:firstLine="708"/>
        <w:contextualSpacing/>
        <w:jc w:val="both"/>
        <w:rPr>
          <w:rFonts w:ascii="Times New Roman" w:hAnsi="Times New Roman"/>
          <w:sz w:val="26"/>
          <w:szCs w:val="26"/>
          <w:lang w:val="en-US"/>
        </w:rPr>
      </w:pPr>
      <w:r>
        <w:rPr>
          <w:rFonts w:ascii="Times New Roman" w:hAnsi="Times New Roman"/>
          <w:sz w:val="26"/>
          <w:szCs w:val="26"/>
        </w:rPr>
        <w:t xml:space="preserve">Въз основа на наличната информация от анкетираните участници може да се направи изводът, че издателите предоставят ТО в границите </w:t>
      </w:r>
      <w:r>
        <w:rPr>
          <w:rFonts w:ascii="Times New Roman" w:hAnsi="Times New Roman"/>
          <w:sz w:val="26"/>
          <w:szCs w:val="26"/>
        </w:rPr>
        <w:t>30%-35 %, а за някои издания достига до 40 % и повече (в зависимост от продукта списание/вестник и доставен тираж). Търговската отстъпка, която предоставят дистрибуторите на едро надолу по веригата, варира в границите 10-21 %</w:t>
      </w:r>
      <w:r>
        <w:rPr>
          <w:rFonts w:ascii="Times New Roman" w:hAnsi="Times New Roman"/>
          <w:color w:val="4F81BD"/>
          <w:sz w:val="26"/>
          <w:szCs w:val="26"/>
        </w:rPr>
        <w:t xml:space="preserve"> </w:t>
      </w:r>
      <w:r>
        <w:rPr>
          <w:rFonts w:ascii="Times New Roman" w:hAnsi="Times New Roman"/>
          <w:sz w:val="26"/>
          <w:szCs w:val="26"/>
        </w:rPr>
        <w:t>в зависимост от нивото на разп</w:t>
      </w:r>
      <w:r>
        <w:rPr>
          <w:rFonts w:ascii="Times New Roman" w:hAnsi="Times New Roman"/>
          <w:sz w:val="26"/>
          <w:szCs w:val="26"/>
        </w:rPr>
        <w:t>ространителя (на едро и/или дребно, опериращ крайни пунктове за продажба).</w:t>
      </w:r>
    </w:p>
    <w:p w:rsidR="00000000" w:rsidRDefault="003E498D">
      <w:pPr>
        <w:pStyle w:val="NoSpacing"/>
        <w:ind w:firstLine="708"/>
        <w:contextualSpacing/>
        <w:jc w:val="both"/>
        <w:rPr>
          <w:rFonts w:ascii="Times New Roman" w:hAnsi="Times New Roman"/>
          <w:sz w:val="26"/>
          <w:szCs w:val="26"/>
          <w:lang w:val="en-US"/>
        </w:rPr>
      </w:pPr>
      <w:r>
        <w:rPr>
          <w:rFonts w:ascii="Times New Roman" w:hAnsi="Times New Roman"/>
          <w:sz w:val="26"/>
          <w:szCs w:val="26"/>
        </w:rPr>
        <w:t>Също така може да се заключи, че няма различен подход при определяне на отстъпките и останалите условия по договорите, но размерът на ТО се определя от издателя на вестниците/списан</w:t>
      </w:r>
      <w:r>
        <w:rPr>
          <w:rFonts w:ascii="Times New Roman" w:hAnsi="Times New Roman"/>
          <w:sz w:val="26"/>
          <w:szCs w:val="26"/>
        </w:rPr>
        <w:t xml:space="preserve">ията.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Извън общите условия, съдържащи се в договорите, чрез които се уреждат отношенията между издателите и разпространителите, се отличават и някои специфични договорености. С цел тяхното по-ясно разграничаване, по-долу ще бъдат представени и анализиран</w:t>
      </w:r>
      <w:r>
        <w:rPr>
          <w:rFonts w:ascii="Times New Roman" w:hAnsi="Times New Roman"/>
          <w:sz w:val="26"/>
          <w:szCs w:val="26"/>
        </w:rPr>
        <w:t xml:space="preserve">и по видове самите договори, които уреждат отношенията в сектора, като бъдат посочени техните страни и предмет.  </w:t>
      </w:r>
    </w:p>
    <w:p w:rsidR="00000000" w:rsidRDefault="003E498D">
      <w:pPr>
        <w:pStyle w:val="NoSpacing"/>
        <w:ind w:firstLine="708"/>
        <w:contextualSpacing/>
        <w:jc w:val="both"/>
        <w:rPr>
          <w:rFonts w:ascii="Times New Roman" w:hAnsi="Times New Roman"/>
          <w:sz w:val="26"/>
          <w:szCs w:val="26"/>
          <w:u w:val="single"/>
          <w:lang w:val="en-US"/>
        </w:rPr>
      </w:pPr>
    </w:p>
    <w:p w:rsidR="00000000" w:rsidRDefault="003E498D">
      <w:pPr>
        <w:pStyle w:val="NoSpacing"/>
        <w:ind w:firstLine="708"/>
        <w:contextualSpacing/>
        <w:jc w:val="both"/>
        <w:rPr>
          <w:rFonts w:ascii="Times New Roman" w:hAnsi="Times New Roman"/>
          <w:sz w:val="26"/>
          <w:szCs w:val="26"/>
          <w:u w:val="single"/>
          <w:lang w:val="en-US"/>
        </w:rPr>
      </w:pP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 xml:space="preserve">Договори за покупко-продажба и за разпространение на  периодични издания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Страни по договорите за покупко-продажба на печатни издания са и</w:t>
      </w:r>
      <w:r>
        <w:rPr>
          <w:rFonts w:ascii="Times New Roman" w:hAnsi="Times New Roman"/>
          <w:sz w:val="26"/>
          <w:szCs w:val="26"/>
        </w:rPr>
        <w:t>здателите (продавачи) и разпространителите (купувачи), като издателят продава, а дистрибуторът купува периодични печатни издания (вестници и списания),  собственост на издателя, с цел тяхното разпространение на територията на страната или на конкретно посо</w:t>
      </w:r>
      <w:r>
        <w:rPr>
          <w:rFonts w:ascii="Times New Roman" w:hAnsi="Times New Roman"/>
          <w:sz w:val="26"/>
          <w:szCs w:val="26"/>
        </w:rPr>
        <w:t xml:space="preserve">чен в договора регион и с цел последваща препродажба до крайни клиенти.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Специфичното при договорите за покупко-продажба и разпространение на печатни издания е, че собствеността върху закупените издания преминава върху купувача от момента на подписването н</w:t>
      </w:r>
      <w:r>
        <w:rPr>
          <w:rFonts w:ascii="Times New Roman" w:hAnsi="Times New Roman"/>
          <w:sz w:val="26"/>
          <w:szCs w:val="26"/>
        </w:rPr>
        <w:t>а приемателно-предавателния протокол за тяхното предаване от продавача.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Някои от дружествата са приели общи условия, при които сключват този вид договори и тези общи условия или са приложение и неразделна част от самите договори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или са приети от </w:t>
      </w:r>
      <w:r>
        <w:rPr>
          <w:rFonts w:ascii="Times New Roman" w:hAnsi="Times New Roman"/>
          <w:sz w:val="26"/>
          <w:szCs w:val="26"/>
        </w:rPr>
        <w:t>ръководството на дружеството и се предоставят на другата страна като условия, които в последствие залягат и в самите договори (</w:t>
      </w:r>
      <w:r>
        <w:rPr>
          <w:rFonts w:ascii="Times New Roman" w:hAnsi="Times New Roman"/>
        </w:rPr>
        <w:t>(...)</w:t>
      </w:r>
      <w:r>
        <w:rPr>
          <w:rFonts w:ascii="Times New Roman" w:hAnsi="Times New Roman"/>
        </w:rPr>
        <w:sym w:font="Symbol" w:char="F02A"/>
      </w:r>
      <w:r>
        <w:rPr>
          <w:rFonts w:ascii="Times New Roman" w:hAnsi="Times New Roman"/>
          <w:sz w:val="26"/>
          <w:szCs w:val="26"/>
        </w:rPr>
        <w:t>).</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При този вид договори обичайно срокът на действие е една година.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lastRenderedPageBreak/>
        <w:t>Цената, на която се закупуват изданията, е разликата ме</w:t>
      </w:r>
      <w:r>
        <w:rPr>
          <w:rFonts w:ascii="Times New Roman" w:hAnsi="Times New Roman"/>
          <w:sz w:val="26"/>
          <w:szCs w:val="26"/>
        </w:rPr>
        <w:t>жду коричната цена и търговските отстъпки от нея, предоставени от издателя в полза на разпространителя.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В повечето случаи този вид договори съдържат клауза, че формирането на тиража на изданията за всеки брой става по писмена заявка, направена от купувача </w:t>
      </w:r>
      <w:r>
        <w:rPr>
          <w:rFonts w:ascii="Times New Roman" w:hAnsi="Times New Roman"/>
          <w:sz w:val="26"/>
          <w:szCs w:val="26"/>
        </w:rPr>
        <w:t xml:space="preserve">най-малко един ден преди излизането на тиража от печат (например в договорите с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или до определен ден от седмицата, предхождаща разпространението на  изданието (например за </w:t>
      </w:r>
      <w:r>
        <w:rPr>
          <w:rFonts w:ascii="Times New Roman" w:hAnsi="Times New Roman"/>
        </w:rPr>
        <w:t>(...)</w:t>
      </w:r>
      <w:r>
        <w:rPr>
          <w:rFonts w:ascii="Times New Roman" w:hAnsi="Times New Roman"/>
        </w:rPr>
        <w:sym w:font="Symbol" w:char="F02A"/>
      </w:r>
      <w:r>
        <w:rPr>
          <w:rFonts w:ascii="Times New Roman" w:hAnsi="Times New Roman"/>
          <w:sz w:val="26"/>
          <w:szCs w:val="26"/>
        </w:rPr>
        <w:t>). При периодичните издания заявките за седмичниците се извършват най-</w:t>
      </w:r>
      <w:r>
        <w:rPr>
          <w:rFonts w:ascii="Times New Roman" w:hAnsi="Times New Roman"/>
          <w:sz w:val="26"/>
          <w:szCs w:val="26"/>
        </w:rPr>
        <w:t xml:space="preserve">късно 6 календарни дни преди тяхното излизане на пазара, а за месечните – най-късно 15 дни преди това (например подобни клаузи има в договорите на </w:t>
      </w:r>
      <w:r>
        <w:rPr>
          <w:rFonts w:ascii="Times New Roman" w:hAnsi="Times New Roman"/>
        </w:rPr>
        <w:t>(...)</w:t>
      </w:r>
      <w:r>
        <w:rPr>
          <w:rFonts w:ascii="Times New Roman" w:hAnsi="Times New Roman"/>
        </w:rPr>
        <w:sym w:font="Symbol" w:char="F02A"/>
      </w:r>
      <w:r>
        <w:rPr>
          <w:rFonts w:ascii="Times New Roman" w:hAnsi="Times New Roman"/>
          <w:sz w:val="26"/>
          <w:szCs w:val="26"/>
        </w:rPr>
        <w:t>).</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Данните за всяко отделно издание - периодичност, брой на отпечатванията, формат, обем, корична цена,</w:t>
      </w:r>
      <w:r>
        <w:rPr>
          <w:rFonts w:ascii="Times New Roman" w:hAnsi="Times New Roman"/>
          <w:sz w:val="26"/>
          <w:szCs w:val="26"/>
        </w:rPr>
        <w:t xml:space="preserve"> се определят в приложения към самите договори и може да са предмет на допълнително уточнение.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При разпространението на ежедневниците тяхната доставка от издателите е до определен час на предходния ден (например 21.30 ч. в договорите на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и 23ч. в дог</w:t>
      </w:r>
      <w:r>
        <w:rPr>
          <w:rFonts w:ascii="Times New Roman" w:hAnsi="Times New Roman"/>
          <w:sz w:val="26"/>
          <w:szCs w:val="26"/>
        </w:rPr>
        <w:t xml:space="preserve">оворите за разпространение на </w:t>
      </w:r>
      <w:r>
        <w:rPr>
          <w:rFonts w:ascii="Times New Roman" w:hAnsi="Times New Roman"/>
        </w:rPr>
        <w:t>(...)</w:t>
      </w:r>
      <w:r>
        <w:rPr>
          <w:rFonts w:ascii="Times New Roman" w:hAnsi="Times New Roman"/>
        </w:rPr>
        <w:sym w:font="Symbol" w:char="F02A"/>
      </w:r>
      <w:r>
        <w:rPr>
          <w:rFonts w:ascii="Times New Roman" w:hAnsi="Times New Roman"/>
          <w:sz w:val="26"/>
          <w:szCs w:val="26"/>
        </w:rPr>
        <w:t>), при периодичните издания – отпечатания тираж  се доставя до 17ч. в деня преди пускането им в продажба.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Мястото на предаване на печатните издания се определя в самите договори (например рампа на печатница – за изданият</w:t>
      </w:r>
      <w:r>
        <w:rPr>
          <w:rFonts w:ascii="Times New Roman" w:hAnsi="Times New Roman"/>
          <w:sz w:val="26"/>
          <w:szCs w:val="26"/>
        </w:rPr>
        <w:t xml:space="preserve">а, разпространявани от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за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и други). След получаването на изданията купувачът има право да ги провери.</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rPr>
        <w:t>В случай, че след предаването на изданията купувачът констатира при прегледа скрити недостатъци и липсващи бройки на изданията, той съста</w:t>
      </w:r>
      <w:r>
        <w:rPr>
          <w:rFonts w:ascii="Times New Roman" w:hAnsi="Times New Roman"/>
          <w:sz w:val="26"/>
          <w:szCs w:val="26"/>
        </w:rPr>
        <w:t xml:space="preserve">вя за целта протокол и отговорността за тях се носи от продавача, като от дължимата цена за закупените през съответния месец издания се приспада сумата, покриваща липсите.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 някои от предоставените на Комисията договори за продажба на печатни издания се</w:t>
      </w:r>
      <w:r>
        <w:rPr>
          <w:rFonts w:ascii="Times New Roman" w:hAnsi="Times New Roman"/>
          <w:sz w:val="26"/>
          <w:szCs w:val="26"/>
        </w:rPr>
        <w:t xml:space="preserve"> съдържа клауза, че купувачът има право да препродава купените издания по коричната им цена.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Транспортните разходи обичайно са за сметка на разпространителите.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При някои от представените договори за продажба на печатни издания дистрибуторът има задължение</w:t>
      </w:r>
      <w:r>
        <w:rPr>
          <w:rFonts w:ascii="Times New Roman" w:hAnsi="Times New Roman"/>
          <w:sz w:val="26"/>
          <w:szCs w:val="26"/>
        </w:rPr>
        <w:t xml:space="preserve">то да информира издателя за броя и мястото на своите пунктове за ръчна продажба (например </w:t>
      </w:r>
      <w:r>
        <w:rPr>
          <w:rFonts w:ascii="Times New Roman" w:hAnsi="Times New Roman"/>
        </w:rPr>
        <w:t>(...)</w:t>
      </w:r>
      <w:r>
        <w:rPr>
          <w:rFonts w:ascii="Times New Roman" w:hAnsi="Times New Roman"/>
        </w:rPr>
        <w:sym w:font="Symbol" w:char="F02A"/>
      </w:r>
      <w:r>
        <w:rPr>
          <w:rFonts w:ascii="Times New Roman" w:hAnsi="Times New Roman"/>
          <w:sz w:val="26"/>
          <w:szCs w:val="26"/>
        </w:rPr>
        <w:t>)</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Тъй като по своя характер тези договори имат за резултат обикновена продажба на вещи, то при тях може и да не бъде уговорено връщането на нереализираните коли</w:t>
      </w:r>
      <w:r>
        <w:rPr>
          <w:rFonts w:ascii="Times New Roman" w:hAnsi="Times New Roman"/>
          <w:sz w:val="26"/>
          <w:szCs w:val="26"/>
        </w:rPr>
        <w:t>чества от изданията (брак). В някои договори обаче има уговорка нереализираните количества да подлежат на връщане в определен срок, като за тях например издателят издава на купувача данъчно кредитно известие и сумата, съдържаща се в него, се приспада от дъ</w:t>
      </w:r>
      <w:r>
        <w:rPr>
          <w:rFonts w:ascii="Times New Roman" w:hAnsi="Times New Roman"/>
          <w:sz w:val="26"/>
          <w:szCs w:val="26"/>
        </w:rPr>
        <w:t xml:space="preserve">лжимата цена. В договорите, сключвани между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и разпространителите, е договорено, че е допустим брак в размер на </w:t>
      </w:r>
      <w:r>
        <w:rPr>
          <w:rFonts w:ascii="Times New Roman" w:hAnsi="Times New Roman"/>
        </w:rPr>
        <w:t>(...)</w:t>
      </w:r>
      <w:r>
        <w:rPr>
          <w:rFonts w:ascii="Times New Roman" w:hAnsi="Times New Roman"/>
        </w:rPr>
        <w:sym w:font="Symbol" w:char="F02A"/>
      </w:r>
      <w:r>
        <w:rPr>
          <w:rFonts w:ascii="Times New Roman" w:hAnsi="Times New Roman"/>
          <w:sz w:val="26"/>
          <w:szCs w:val="26"/>
        </w:rPr>
        <w:t>, за което се съставя приемо-предавателен протокол, с подписването на който страните се съгласяват за обезсилването на продажбата на</w:t>
      </w:r>
      <w:r>
        <w:rPr>
          <w:rFonts w:ascii="Times New Roman" w:hAnsi="Times New Roman"/>
          <w:sz w:val="26"/>
          <w:szCs w:val="26"/>
        </w:rPr>
        <w:t xml:space="preserve"> предадения от купувача нереализиран тираж. В договорите, сключвани с издателя на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и други издатели, също е предвидено при предаването на нереализирания тираж до определен срок (например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дни след закупуването </w:t>
      </w:r>
      <w:r>
        <w:rPr>
          <w:rFonts w:ascii="Times New Roman" w:hAnsi="Times New Roman"/>
          <w:sz w:val="26"/>
          <w:szCs w:val="26"/>
        </w:rPr>
        <w:lastRenderedPageBreak/>
        <w:t xml:space="preserve">му в договорите за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и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дни в договорите на </w:t>
      </w:r>
      <w:r>
        <w:rPr>
          <w:rFonts w:ascii="Times New Roman" w:hAnsi="Times New Roman"/>
        </w:rPr>
        <w:t>(...)</w:t>
      </w:r>
      <w:r>
        <w:rPr>
          <w:rFonts w:ascii="Times New Roman" w:hAnsi="Times New Roman"/>
        </w:rPr>
        <w:sym w:font="Symbol" w:char="F02A"/>
      </w:r>
      <w:r>
        <w:rPr>
          <w:rFonts w:ascii="Times New Roman" w:hAnsi="Times New Roman"/>
          <w:sz w:val="26"/>
          <w:szCs w:val="26"/>
        </w:rPr>
        <w:t>) да отпада задължението на купувача да заплати цената за него.</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Договорите за продажба и разпространение на печатни издания се прекратяват обичайно с изтичане на техния срок, по взаимно съгласие на страните по тях или с едностра</w:t>
      </w:r>
      <w:r>
        <w:rPr>
          <w:rFonts w:ascii="Times New Roman" w:hAnsi="Times New Roman"/>
          <w:sz w:val="26"/>
          <w:szCs w:val="26"/>
        </w:rPr>
        <w:t>нно едномесечно предизвестие. За анализирания период не са предоставени данни някои от тези договори да са били прекратени на друго основание.</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 xml:space="preserve"> Договорите за разпространение съдържат разпоредби и условия, подобни на договорите за покупко-продажба, но при </w:t>
      </w:r>
      <w:r>
        <w:rPr>
          <w:rFonts w:ascii="Times New Roman" w:hAnsi="Times New Roman"/>
          <w:sz w:val="26"/>
          <w:szCs w:val="26"/>
        </w:rPr>
        <w:t>тях издателите предоставят на разпространителите правото да извършват дистрибуция на техните издания, без собствеността върху изданията да се прехвърля. Предметът на тези договори може да обхване също свободна продажба на дребно и абонамент.</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Разпространен</w:t>
      </w:r>
      <w:r>
        <w:rPr>
          <w:rFonts w:ascii="Times New Roman" w:hAnsi="Times New Roman"/>
          <w:sz w:val="26"/>
          <w:szCs w:val="26"/>
        </w:rPr>
        <w:t xml:space="preserve">ието на изданията се извършва чрез предварителна седмична заявка от разпространителя, която се заявява до определен ден на седмицата, предхождаща разпространението на изданието, като в определени случаи може да бъде поискана корекция на заявения тираж.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Са</w:t>
      </w:r>
      <w:r>
        <w:rPr>
          <w:rFonts w:ascii="Times New Roman" w:hAnsi="Times New Roman"/>
          <w:sz w:val="26"/>
          <w:szCs w:val="26"/>
        </w:rPr>
        <w:t xml:space="preserve">мото получаване на изданията, подобно на договорите за продажба, се извършва на рампа или друго определено място до определен час на предходния ден за ежедневниците (например до 23ч. от предния ден за </w:t>
      </w:r>
      <w:r>
        <w:rPr>
          <w:rFonts w:ascii="Times New Roman" w:hAnsi="Times New Roman"/>
        </w:rPr>
        <w:t>(...)</w:t>
      </w:r>
      <w:r>
        <w:rPr>
          <w:rFonts w:ascii="Times New Roman" w:hAnsi="Times New Roman"/>
        </w:rPr>
        <w:sym w:font="Symbol" w:char="F02A"/>
      </w:r>
      <w:r>
        <w:rPr>
          <w:rFonts w:ascii="Times New Roman" w:hAnsi="Times New Roman"/>
          <w:sz w:val="26"/>
          <w:szCs w:val="26"/>
        </w:rPr>
        <w:t>), или до определен ден на предходната седмица пр</w:t>
      </w:r>
      <w:r>
        <w:rPr>
          <w:rFonts w:ascii="Times New Roman" w:hAnsi="Times New Roman"/>
          <w:sz w:val="26"/>
          <w:szCs w:val="26"/>
        </w:rPr>
        <w:t>еди пускането в продажба на периодичните издания.</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 xml:space="preserve">При тези договори издателите дължат ТО в размер на определен процент от коричната цена на изданието.  В някои договори е предвидено (например в. </w:t>
      </w:r>
      <w:r>
        <w:rPr>
          <w:rFonts w:ascii="Times New Roman" w:hAnsi="Times New Roman"/>
        </w:rPr>
        <w:t>(...)</w:t>
      </w:r>
      <w:r>
        <w:rPr>
          <w:rFonts w:ascii="Times New Roman" w:hAnsi="Times New Roman"/>
        </w:rPr>
        <w:sym w:font="Symbol" w:char="F02A"/>
      </w:r>
      <w:r>
        <w:rPr>
          <w:rFonts w:ascii="Times New Roman" w:hAnsi="Times New Roman"/>
          <w:sz w:val="26"/>
          <w:szCs w:val="26"/>
        </w:rPr>
        <w:t>), когато има вложени  подаръци към изданието на разпр</w:t>
      </w:r>
      <w:r>
        <w:rPr>
          <w:rFonts w:ascii="Times New Roman" w:hAnsi="Times New Roman"/>
          <w:sz w:val="26"/>
          <w:szCs w:val="26"/>
        </w:rPr>
        <w:t>остранителя да се заплаща допълнителна такса за тяхната обработка.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При тези договори има договорен брак. При договорите за изданията на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с разпространителите прави впечатление, че е договорено да подлежат на връщане всички непродадени издания, без да</w:t>
      </w:r>
      <w:r>
        <w:rPr>
          <w:rFonts w:ascii="Times New Roman" w:hAnsi="Times New Roman"/>
          <w:sz w:val="26"/>
          <w:szCs w:val="26"/>
        </w:rPr>
        <w:t xml:space="preserve"> е определен максимален праг.</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Основанията, на които могат да бъдат прекратени договорите за разпространение, са същите както при  договорите за покупко-продажба, но с тази разлика, че при тези договори доставените и непродадени издания подлежат на връщане </w:t>
      </w:r>
      <w:r>
        <w:rPr>
          <w:rFonts w:ascii="Times New Roman" w:hAnsi="Times New Roman"/>
          <w:sz w:val="26"/>
          <w:szCs w:val="26"/>
        </w:rPr>
        <w:t>на издателя.</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 xml:space="preserve"> </w:t>
      </w: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Договори за консигнация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Договорите за консигнация са често използвана форма за уреждане на търговските взаимоотношения между издателите и разпространителите. При този вид договори специфичното е, че издателите като собственици на стоки (техн</w:t>
      </w:r>
      <w:r>
        <w:rPr>
          <w:rFonts w:ascii="Times New Roman" w:hAnsi="Times New Roman"/>
          <w:sz w:val="26"/>
          <w:szCs w:val="26"/>
        </w:rPr>
        <w:t xml:space="preserve">ите издания) имат качеството на  консигнант, който делегира на друг търговец  (консигнатор) правото да продаде стоките при определени условия и срещу определена цена.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При тези договори няма преминаване на собствеността върху вещите в полза на консигнатора</w:t>
      </w:r>
      <w:r>
        <w:rPr>
          <w:rFonts w:ascii="Times New Roman" w:hAnsi="Times New Roman"/>
          <w:sz w:val="26"/>
          <w:szCs w:val="26"/>
        </w:rPr>
        <w:t xml:space="preserve"> и в случай, че след изтичането на срока на договора стоката не е продадена, консигнаторът има задължение да я върне на консигнанта.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При този вид продажба консигнантът дължи на консигнатора възнаграждение, което обикновено се формира като процент от печалб</w:t>
      </w:r>
      <w:r>
        <w:rPr>
          <w:rFonts w:ascii="Times New Roman" w:hAnsi="Times New Roman"/>
          <w:sz w:val="26"/>
          <w:szCs w:val="26"/>
        </w:rPr>
        <w:t xml:space="preserve">ата, но </w:t>
      </w:r>
      <w:r>
        <w:rPr>
          <w:rFonts w:ascii="Times New Roman" w:hAnsi="Times New Roman"/>
          <w:sz w:val="26"/>
          <w:szCs w:val="26"/>
        </w:rPr>
        <w:lastRenderedPageBreak/>
        <w:t>може да бъде и фиксирана сума. Така например в договорите, предоставени от (...)</w:t>
      </w:r>
      <w:r>
        <w:rPr>
          <w:rFonts w:ascii="Times New Roman" w:hAnsi="Times New Roman"/>
          <w:sz w:val="26"/>
          <w:szCs w:val="26"/>
        </w:rPr>
        <w:t>, възнаграждението на консигнатора е % от стойността на целия договорен тираж  по корична цена или се определя като % от стойността на продадения тираж по корична цена</w:t>
      </w:r>
      <w:r>
        <w:rPr>
          <w:rFonts w:ascii="Times New Roman" w:hAnsi="Times New Roman"/>
          <w:sz w:val="26"/>
          <w:szCs w:val="26"/>
        </w:rPr>
        <w:t>.</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Получаването на изданията от разпространителя се извършва при аналогични условия за час и място, както бе посочено по-горе при договорите за продажба на печатни издания. В случай на промяна на графика за предаване на изданията консигнантът е длъжен да ув</w:t>
      </w:r>
      <w:r>
        <w:rPr>
          <w:rFonts w:ascii="Times New Roman" w:hAnsi="Times New Roman"/>
          <w:sz w:val="26"/>
          <w:szCs w:val="26"/>
        </w:rPr>
        <w:t>едоми консигнатора преди промяната, като в договорите се определя срок за това (например 4 работни дни).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Консигнантът носи отговорност за скрити недостатъци и липсващи бройки на изданията, констатирани от консигнатора след направения оглед при тяхното полу</w:t>
      </w:r>
      <w:r>
        <w:rPr>
          <w:rFonts w:ascii="Times New Roman" w:hAnsi="Times New Roman"/>
          <w:sz w:val="26"/>
          <w:szCs w:val="26"/>
        </w:rPr>
        <w:t>чаване.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Консигнаторът е длъжен да продава изданията по тяхната корична цена, като тази цена в някои случаи може да бъде допълнително посочена и в приложение към самия договор за консигнация.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При някои от договорите за консигнация отличителната черта е, че </w:t>
      </w:r>
      <w:r>
        <w:rPr>
          <w:rFonts w:ascii="Times New Roman" w:hAnsi="Times New Roman"/>
          <w:sz w:val="26"/>
          <w:szCs w:val="26"/>
        </w:rPr>
        <w:t>няма определен максимален процент договорен брак. Издателят има право да получи непродадените и дефектните бройки  от изданието, като за целта се съставя отчет за продадените количества и  протокол за брак.</w:t>
      </w:r>
    </w:p>
    <w:p w:rsidR="00000000" w:rsidRDefault="003E498D">
      <w:pPr>
        <w:pStyle w:val="NoSpacing"/>
        <w:ind w:firstLine="708"/>
        <w:contextualSpacing/>
        <w:jc w:val="both"/>
        <w:rPr>
          <w:rFonts w:ascii="Times New Roman" w:hAnsi="Times New Roman"/>
          <w:sz w:val="26"/>
          <w:szCs w:val="26"/>
          <w:lang w:val="en-US"/>
        </w:rPr>
      </w:pPr>
      <w:r>
        <w:rPr>
          <w:rFonts w:ascii="Times New Roman" w:hAnsi="Times New Roman"/>
          <w:sz w:val="26"/>
          <w:szCs w:val="26"/>
        </w:rPr>
        <w:t>Договорите за консигнация се прекратяват с изтича</w:t>
      </w:r>
      <w:r>
        <w:rPr>
          <w:rFonts w:ascii="Times New Roman" w:hAnsi="Times New Roman"/>
          <w:sz w:val="26"/>
          <w:szCs w:val="26"/>
        </w:rPr>
        <w:t>не на техния срок на действие, по взаимно съгласие или едностранно от изправната страна при продължително неизпълнение на задълженията по тях от другата страна. След изтичане срока на действие на договора или след прекратяването му в определен  срок  (напр</w:t>
      </w:r>
      <w:r>
        <w:rPr>
          <w:rFonts w:ascii="Times New Roman" w:hAnsi="Times New Roman"/>
          <w:sz w:val="26"/>
          <w:szCs w:val="26"/>
        </w:rPr>
        <w:t>имер 15 дни) консигнаторът е длъжен да върне на консигнанта непродадените издания.</w:t>
      </w: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Договори за абонамент</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Страните по този вид договори са възложител (издател) и разпространител. По силата на договор за абонамент разпространителите поемат задължението за ор</w:t>
      </w:r>
      <w:r>
        <w:rPr>
          <w:rFonts w:ascii="Times New Roman" w:hAnsi="Times New Roman"/>
          <w:sz w:val="26"/>
          <w:szCs w:val="26"/>
        </w:rPr>
        <w:t xml:space="preserve">ганизиране и набиране на абонамент за изданията и тяхната доставка до абонатите – крайни потребители, или на територията на цялата страна, или в определен в договора район на действие.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 някои случаи в договорите е предвидено разпространителят да има прав</w:t>
      </w:r>
      <w:r>
        <w:rPr>
          <w:rFonts w:ascii="Times New Roman" w:hAnsi="Times New Roman"/>
          <w:sz w:val="26"/>
          <w:szCs w:val="26"/>
        </w:rPr>
        <w:t xml:space="preserve">о да възлага набирането на абонати за изданията по договора на трети лица (например в договорите на </w:t>
      </w:r>
      <w:r>
        <w:rPr>
          <w:rFonts w:ascii="Times New Roman" w:hAnsi="Times New Roman"/>
        </w:rPr>
        <w:t>(...)</w:t>
      </w:r>
      <w:r>
        <w:rPr>
          <w:rFonts w:ascii="Times New Roman" w:hAnsi="Times New Roman"/>
        </w:rPr>
        <w:sym w:font="Symbol" w:char="F02A"/>
      </w:r>
      <w:r>
        <w:rPr>
          <w:rFonts w:ascii="Times New Roman" w:hAnsi="Times New Roman"/>
          <w:sz w:val="26"/>
          <w:szCs w:val="26"/>
        </w:rPr>
        <w:t>).</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Изданията се получават в печатната база на издателя или друго уговорено в договора място, като се съставя протокол за приемане. При промяна в графи</w:t>
      </w:r>
      <w:r>
        <w:rPr>
          <w:rFonts w:ascii="Times New Roman" w:hAnsi="Times New Roman"/>
          <w:sz w:val="26"/>
          <w:szCs w:val="26"/>
        </w:rPr>
        <w:t xml:space="preserve">ка на предаване възложителят е длъжен в определен срок (например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дни в някои договори между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да уведоми писмено изпълнителя. В случай, че има липсващи или дефектни бройки от изданието, за констатациите също се съставя протокол и се уведомява </w:t>
      </w:r>
      <w:r>
        <w:rPr>
          <w:rFonts w:ascii="Times New Roman" w:hAnsi="Times New Roman"/>
          <w:sz w:val="26"/>
          <w:szCs w:val="26"/>
        </w:rPr>
        <w:t>издателят.</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Възнаграждението, което издателите дължат в качеството им на възложители по тези договори, е % ТО от абонаментната цена или % ТО от коричната цена. В някои догори размерът на ТО варира между 28% или 32% от абонаментната цена.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 представените тип</w:t>
      </w:r>
      <w:r>
        <w:rPr>
          <w:rFonts w:ascii="Times New Roman" w:hAnsi="Times New Roman"/>
          <w:sz w:val="26"/>
          <w:szCs w:val="26"/>
        </w:rPr>
        <w:t xml:space="preserve">ови договори се наблюдават случаи, в които допълнително могат да бъдат начислени такси за обработката на изданията, </w:t>
      </w:r>
      <w:r>
        <w:rPr>
          <w:rFonts w:ascii="Times New Roman" w:hAnsi="Times New Roman"/>
          <w:sz w:val="26"/>
          <w:szCs w:val="26"/>
        </w:rPr>
        <w:lastRenderedPageBreak/>
        <w:t xml:space="preserve">когато  към тях има вложени  подаръци или външен рекламен материал (например в договорите, сключвани от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Размерът на допълнителните </w:t>
      </w:r>
      <w:r>
        <w:rPr>
          <w:rFonts w:ascii="Times New Roman" w:hAnsi="Times New Roman"/>
          <w:sz w:val="26"/>
          <w:szCs w:val="26"/>
        </w:rPr>
        <w:t xml:space="preserve">такси за обработка на вложките може да се определи като конкретна сума за всеки брой с допълнително вложен материал (например в размер на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без ДДС).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При абонамента изданията се доставят в опаковка  съгласно изискванията на БДС 12990-84г.</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Освен основ</w:t>
      </w:r>
      <w:r>
        <w:rPr>
          <w:rFonts w:ascii="Times New Roman" w:hAnsi="Times New Roman"/>
          <w:sz w:val="26"/>
          <w:szCs w:val="26"/>
        </w:rPr>
        <w:t>ните задължения по договора за абонамент, изпълнителят (разпространител) по него има в някои случаи също задължението да организира и провежда подписка за приемане на абонаменти за изданията, да проучва читателското търсене, да предоставя информация за або</w:t>
      </w:r>
      <w:r>
        <w:rPr>
          <w:rFonts w:ascii="Times New Roman" w:hAnsi="Times New Roman"/>
          <w:sz w:val="26"/>
          <w:szCs w:val="26"/>
        </w:rPr>
        <w:t>намента по месеци, да изготвя приемо-предавателни протоколи за приетите количества за доставка.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От представените типови договори в хода на анализа бе установено, че в някои от тях (например в тези, страни по които са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и други) е уговорено издателите </w:t>
      </w:r>
      <w:r>
        <w:rPr>
          <w:rFonts w:ascii="Times New Roman" w:hAnsi="Times New Roman"/>
          <w:sz w:val="26"/>
          <w:szCs w:val="26"/>
        </w:rPr>
        <w:t>да имат право едностранно и без съгласието на разпространителя да правят промени в абонаментните цени на изданията, техния обем, формат, периодичност и ден на издаване. За всички тези промени издателите уведомяват писмено разпространителите. Правата на або</w:t>
      </w:r>
      <w:r>
        <w:rPr>
          <w:rFonts w:ascii="Times New Roman" w:hAnsi="Times New Roman"/>
          <w:sz w:val="26"/>
          <w:szCs w:val="26"/>
        </w:rPr>
        <w:t>натите за срока на абонамента се запазват.</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Представените от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договори за абонамент съдържат аналогични разпоредби. Отличително при тях е, че за набирането на нов абонат – краен потребител е договорена допълнителна ТО, както и в случаите, при които ди</w:t>
      </w:r>
      <w:r>
        <w:rPr>
          <w:rFonts w:ascii="Times New Roman" w:hAnsi="Times New Roman"/>
          <w:sz w:val="26"/>
          <w:szCs w:val="26"/>
        </w:rPr>
        <w:t>стрибуторът не е набрал сам абонамента, а същият му е бил възложен от издателя – тогава се определя различен размер ТО от набраните суми за абонамент.</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 сектора се наблюдават и договори, които могат да се определят като бартерни – например има такива между</w:t>
      </w:r>
      <w:r>
        <w:rPr>
          <w:rFonts w:ascii="Times New Roman" w:hAnsi="Times New Roman"/>
          <w:sz w:val="26"/>
          <w:szCs w:val="26"/>
        </w:rPr>
        <w:t xml:space="preserve"> </w:t>
      </w:r>
      <w:r>
        <w:rPr>
          <w:rFonts w:ascii="Times New Roman" w:hAnsi="Times New Roman"/>
        </w:rPr>
        <w:t>(...)</w:t>
      </w:r>
      <w:r>
        <w:rPr>
          <w:rFonts w:ascii="Times New Roman" w:hAnsi="Times New Roman"/>
        </w:rPr>
        <w:sym w:font="Symbol" w:char="F02A"/>
      </w:r>
      <w:r>
        <w:rPr>
          <w:rFonts w:ascii="Times New Roman" w:hAnsi="Times New Roman"/>
          <w:sz w:val="26"/>
          <w:szCs w:val="26"/>
        </w:rPr>
        <w:t>, които се договарят взаимно да си предоставят годишни абонаменти на своите издания. Вместо плащане на цената общата стойност на годишните абонаменти, предоставяни от единия издател, се приравнява на тези, които вторият издател ще му предостави от с</w:t>
      </w:r>
      <w:r>
        <w:rPr>
          <w:rFonts w:ascii="Times New Roman" w:hAnsi="Times New Roman"/>
          <w:sz w:val="26"/>
          <w:szCs w:val="26"/>
        </w:rPr>
        <w:t>воя страна. В този случай при преустановяване отпечатването на издание или намаляване на неговата периодичност страните се договарят пропорционално на неизпълнения абонамент другата страна да бъде обезщетена или със заплащане на цена, или с увеличаване бро</w:t>
      </w:r>
      <w:r>
        <w:rPr>
          <w:rFonts w:ascii="Times New Roman" w:hAnsi="Times New Roman"/>
          <w:sz w:val="26"/>
          <w:szCs w:val="26"/>
        </w:rPr>
        <w:t>я на изданията, които същият издател дължи като престация по договора. Страните нямат право да искат реално плащане на цената на годишните абонаменти.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Тези договори също обичайно се сключват за една година.</w:t>
      </w:r>
    </w:p>
    <w:p w:rsidR="00000000" w:rsidRDefault="003E498D">
      <w:pPr>
        <w:pStyle w:val="NoSpacing"/>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Договори за възлагане на услуги в областта на ра</w:t>
      </w:r>
      <w:r>
        <w:rPr>
          <w:rFonts w:ascii="Times New Roman" w:hAnsi="Times New Roman"/>
          <w:sz w:val="26"/>
          <w:szCs w:val="26"/>
          <w:u w:val="single"/>
        </w:rPr>
        <w:t>зпространението</w:t>
      </w:r>
    </w:p>
    <w:p w:rsidR="00000000" w:rsidRDefault="003E498D">
      <w:pPr>
        <w:pStyle w:val="NoSpacing"/>
        <w:ind w:firstLine="708"/>
        <w:contextualSpacing/>
        <w:jc w:val="both"/>
        <w:rPr>
          <w:rFonts w:ascii="Times New Roman" w:hAnsi="Times New Roman"/>
          <w:sz w:val="26"/>
          <w:szCs w:val="26"/>
          <w:lang w:val="en-US"/>
        </w:rPr>
      </w:pPr>
      <w:r>
        <w:rPr>
          <w:rFonts w:ascii="Times New Roman" w:hAnsi="Times New Roman"/>
          <w:sz w:val="26"/>
          <w:szCs w:val="26"/>
        </w:rPr>
        <w:t>Събраните данни в хода на анализа показаха, че „Агенция Стрела“ ЕООД</w:t>
      </w:r>
      <w:r>
        <w:rPr>
          <w:rFonts w:ascii="Times New Roman" w:hAnsi="Times New Roman"/>
          <w:color w:val="FF0000"/>
          <w:sz w:val="26"/>
          <w:szCs w:val="26"/>
        </w:rPr>
        <w:t xml:space="preserve"> </w:t>
      </w:r>
      <w:r>
        <w:rPr>
          <w:rFonts w:ascii="Times New Roman" w:hAnsi="Times New Roman"/>
          <w:sz w:val="26"/>
          <w:szCs w:val="26"/>
        </w:rPr>
        <w:t>е генерален дистрибутор на издателската група, чието крайно дружество е „Медийна група България Холдинг“ ООД, и изданията на групата се разпространяват единствено опосреде</w:t>
      </w:r>
      <w:r>
        <w:rPr>
          <w:rFonts w:ascii="Times New Roman" w:hAnsi="Times New Roman"/>
          <w:sz w:val="26"/>
          <w:szCs w:val="26"/>
        </w:rPr>
        <w:t>но чрез агенцията. Предвид на това особено статукво на „Агенция Стрела“ ЕООД, Комисията счита за необходимо да акцентира на договорите, сключвани между дружествата от групата и агенцията, и да представи техните отличителни условия.</w:t>
      </w:r>
    </w:p>
    <w:p w:rsidR="00000000" w:rsidRDefault="003E498D">
      <w:pPr>
        <w:pStyle w:val="NoSpacing"/>
        <w:ind w:firstLine="708"/>
        <w:contextualSpacing/>
        <w:jc w:val="both"/>
        <w:rPr>
          <w:rFonts w:ascii="Times New Roman" w:hAnsi="Times New Roman"/>
          <w:lang w:val="en-US"/>
        </w:rPr>
      </w:pPr>
      <w:r>
        <w:rPr>
          <w:rFonts w:ascii="Times New Roman" w:hAnsi="Times New Roman"/>
        </w:rPr>
        <w:t>(...)</w:t>
      </w:r>
      <w:r>
        <w:rPr>
          <w:rFonts w:ascii="Times New Roman" w:hAnsi="Times New Roman"/>
        </w:rPr>
        <w:sym w:font="Symbol" w:char="F02A"/>
      </w:r>
    </w:p>
    <w:p w:rsidR="00000000" w:rsidRDefault="003E498D">
      <w:pPr>
        <w:pStyle w:val="NoSpacing"/>
        <w:ind w:firstLine="708"/>
        <w:contextualSpacing/>
        <w:jc w:val="both"/>
        <w:rPr>
          <w:rFonts w:ascii="Times New Roman" w:hAnsi="Times New Roman"/>
          <w:lang w:val="en-US"/>
        </w:rPr>
      </w:pPr>
    </w:p>
    <w:p w:rsidR="00000000" w:rsidRDefault="003E498D">
      <w:pPr>
        <w:pStyle w:val="NoSpacing"/>
        <w:numPr>
          <w:ilvl w:val="1"/>
          <w:numId w:val="2"/>
        </w:numPr>
        <w:contextualSpacing/>
        <w:jc w:val="both"/>
        <w:rPr>
          <w:rFonts w:ascii="Times New Roman" w:hAnsi="Times New Roman"/>
          <w:b/>
          <w:sz w:val="26"/>
          <w:szCs w:val="26"/>
        </w:rPr>
      </w:pPr>
      <w:r>
        <w:rPr>
          <w:rFonts w:ascii="Times New Roman" w:hAnsi="Times New Roman"/>
          <w:b/>
          <w:sz w:val="26"/>
          <w:szCs w:val="26"/>
        </w:rPr>
        <w:lastRenderedPageBreak/>
        <w:t>Нереализиран отп</w:t>
      </w:r>
      <w:r>
        <w:rPr>
          <w:rFonts w:ascii="Times New Roman" w:hAnsi="Times New Roman"/>
          <w:b/>
          <w:sz w:val="26"/>
          <w:szCs w:val="26"/>
        </w:rPr>
        <w:t xml:space="preserve">ечатан/доставен тираж (брак)  </w:t>
      </w:r>
    </w:p>
    <w:p w:rsidR="00000000" w:rsidRDefault="003E498D">
      <w:pPr>
        <w:pStyle w:val="NoSpacing"/>
        <w:contextualSpacing/>
        <w:jc w:val="both"/>
        <w:rPr>
          <w:rFonts w:ascii="Times New Roman" w:hAnsi="Times New Roman"/>
          <w:i/>
          <w:sz w:val="26"/>
          <w:szCs w:val="26"/>
        </w:rPr>
      </w:pPr>
      <w:r>
        <w:rPr>
          <w:rFonts w:ascii="Times New Roman" w:hAnsi="Times New Roman"/>
          <w:sz w:val="26"/>
          <w:szCs w:val="26"/>
        </w:rPr>
        <w:tab/>
      </w:r>
      <w:r>
        <w:rPr>
          <w:rFonts w:ascii="Times New Roman" w:hAnsi="Times New Roman"/>
          <w:sz w:val="26"/>
          <w:szCs w:val="26"/>
        </w:rPr>
        <w:t>При извършването на секторния анализ бе поискана информация от разпространителите за доставения и реализиран от тях тираж по години и по видове издания (национални ежедневници; национални седмичници, регионални издания и спи</w:t>
      </w:r>
      <w:r>
        <w:rPr>
          <w:rFonts w:ascii="Times New Roman" w:hAnsi="Times New Roman"/>
          <w:sz w:val="26"/>
          <w:szCs w:val="26"/>
        </w:rPr>
        <w:t>сания). Въз основа на получените отговори се установи, че данните на анкетираните участници са непълни (липсва информация за доставен тираж при  Прес ЕООД), а в изготвените справки  на Група Герини, „Прес 2000“ ЕООД (за периода 2010-2011 г.)  и „Мелао“ ЕОО</w:t>
      </w:r>
      <w:r>
        <w:rPr>
          <w:rFonts w:ascii="Times New Roman" w:hAnsi="Times New Roman"/>
          <w:sz w:val="26"/>
          <w:szCs w:val="26"/>
        </w:rPr>
        <w:t>Д броят на доставения тираж е по-малък от реализирания.</w:t>
      </w:r>
      <w:r>
        <w:rPr>
          <w:rFonts w:ascii="Times New Roman" w:hAnsi="Times New Roman"/>
          <w:color w:val="4F81BD"/>
          <w:sz w:val="26"/>
          <w:szCs w:val="26"/>
        </w:rPr>
        <w:t xml:space="preserve"> </w:t>
      </w:r>
      <w:r>
        <w:rPr>
          <w:rFonts w:ascii="Times New Roman" w:hAnsi="Times New Roman"/>
          <w:sz w:val="26"/>
          <w:szCs w:val="26"/>
        </w:rPr>
        <w:t>Предприятията „НАР“ ЕАД, „Агенция Стрела“ ЕООД, „Оларт“ ЕООД,  „Сенатор“ ООД,  „Медика Прес“ ЕООД и „АКС Трейдинг“ ООД не са представили такава информация.</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На база получените справки, „Национална дис</w:t>
      </w:r>
      <w:r>
        <w:rPr>
          <w:rFonts w:ascii="Times New Roman" w:hAnsi="Times New Roman"/>
          <w:sz w:val="26"/>
          <w:szCs w:val="26"/>
        </w:rPr>
        <w:t xml:space="preserve">трибуция“ ООД има общо  брак  от нереализиран тираж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За периода при ежедневниците бракът е в границите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w:t>
      </w:r>
      <w:r>
        <w:rPr>
          <w:rFonts w:ascii="Times New Roman" w:hAnsi="Times New Roman"/>
          <w:sz w:val="26"/>
          <w:szCs w:val="26"/>
        </w:rPr>
        <w:t xml:space="preserve"> при седмичници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а при списанията – за периода 2009 -2010 г.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 xml:space="preserve"> </w:t>
      </w:r>
      <w:r>
        <w:rPr>
          <w:rFonts w:ascii="Times New Roman" w:hAnsi="Times New Roman"/>
          <w:sz w:val="26"/>
          <w:szCs w:val="26"/>
        </w:rPr>
        <w:t>и</w:t>
      </w:r>
      <w:r>
        <w:rPr>
          <w:rFonts w:ascii="Times New Roman" w:hAnsi="Times New Roman"/>
          <w:color w:val="FF0000"/>
          <w:sz w:val="26"/>
          <w:szCs w:val="26"/>
        </w:rPr>
        <w:t xml:space="preserve">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 xml:space="preserve"> </w:t>
      </w:r>
      <w:r>
        <w:rPr>
          <w:rFonts w:ascii="Times New Roman" w:hAnsi="Times New Roman"/>
          <w:sz w:val="26"/>
          <w:szCs w:val="26"/>
        </w:rPr>
        <w:t>- 2011 г.</w:t>
      </w:r>
    </w:p>
    <w:p w:rsidR="00000000" w:rsidRDefault="003E498D">
      <w:pPr>
        <w:ind w:firstLine="708"/>
        <w:contextualSpacing/>
        <w:jc w:val="both"/>
        <w:rPr>
          <w:rFonts w:ascii="Times New Roman" w:hAnsi="Times New Roman"/>
          <w:color w:val="FF0000"/>
          <w:sz w:val="26"/>
          <w:szCs w:val="26"/>
        </w:rPr>
      </w:pPr>
      <w:r>
        <w:rPr>
          <w:rFonts w:ascii="Times New Roman" w:hAnsi="Times New Roman"/>
          <w:sz w:val="26"/>
          <w:szCs w:val="26"/>
        </w:rPr>
        <w:t>„Бояна 97“ ЕООД има нереализирана стока общо</w:t>
      </w:r>
      <w:r>
        <w:rPr>
          <w:rFonts w:ascii="Times New Roman" w:hAnsi="Times New Roman"/>
          <w:sz w:val="26"/>
          <w:szCs w:val="26"/>
        </w:rPr>
        <w:t xml:space="preserve">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sz w:val="26"/>
          <w:szCs w:val="26"/>
        </w:rPr>
        <w:t>, а ЕТ „Тони-ДВ Цветанка Иванова“ общо за периода на всички издания – 12 % (2009 г.); 14 % (2010 г.) и 15 % (2011 г.), като това съотношение се отнася и отделно за ежедневниците и за седмичниците. „Разпространение на печата“ АД отчита брак на печат</w:t>
      </w:r>
      <w:r>
        <w:rPr>
          <w:rFonts w:ascii="Times New Roman" w:hAnsi="Times New Roman"/>
          <w:sz w:val="26"/>
          <w:szCs w:val="26"/>
        </w:rPr>
        <w:t xml:space="preserve">ните издания общо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color w:val="FF0000"/>
          <w:sz w:val="26"/>
          <w:szCs w:val="26"/>
        </w:rPr>
        <w:t>.</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 xml:space="preserve"> Съгласно справка за доставения и реализиран брой основни национални всекидневници и седмичници (без в. Капитал и в. Капитал дейли) с информационно политическа насоченост от Група Герини, може да се направят следните заключения: З</w:t>
      </w:r>
      <w:r>
        <w:rPr>
          <w:rFonts w:ascii="Times New Roman" w:hAnsi="Times New Roman"/>
          <w:sz w:val="26"/>
          <w:szCs w:val="26"/>
        </w:rPr>
        <w:t xml:space="preserve">а анализирания период процентът нереализиран тираж на тези ежедневници е в границите </w:t>
      </w:r>
      <w:r>
        <w:rPr>
          <w:rFonts w:ascii="Times New Roman" w:hAnsi="Times New Roman"/>
          <w:color w:val="000000"/>
          <w:sz w:val="26"/>
          <w:szCs w:val="26"/>
        </w:rPr>
        <w:t xml:space="preserve">2-4%, през 2010г. се забелязва значителен брой нереализиран тираж на ежедневниците Новинар (приблизително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color w:val="000000"/>
          <w:sz w:val="26"/>
          <w:szCs w:val="26"/>
        </w:rPr>
        <w:t>);  Класа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color w:val="000000"/>
          <w:sz w:val="26"/>
          <w:szCs w:val="26"/>
        </w:rPr>
        <w:t xml:space="preserve">), Сега (около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color w:val="000000"/>
          <w:sz w:val="26"/>
          <w:szCs w:val="26"/>
        </w:rPr>
        <w:t>) и Дума (приблизител</w:t>
      </w:r>
      <w:r>
        <w:rPr>
          <w:rFonts w:ascii="Times New Roman" w:hAnsi="Times New Roman"/>
          <w:color w:val="000000"/>
          <w:sz w:val="26"/>
          <w:szCs w:val="26"/>
        </w:rPr>
        <w:t xml:space="preserve">но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color w:val="000000"/>
          <w:sz w:val="26"/>
          <w:szCs w:val="26"/>
        </w:rPr>
        <w:t>), като през</w:t>
      </w:r>
      <w:r>
        <w:rPr>
          <w:rFonts w:ascii="Times New Roman" w:hAnsi="Times New Roman"/>
          <w:sz w:val="26"/>
          <w:szCs w:val="26"/>
        </w:rPr>
        <w:t xml:space="preserve"> 2011 г. този брак значително намалява и достига съответно до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sz w:val="22"/>
          <w:szCs w:val="22"/>
          <w:lang w:val="en-US"/>
        </w:rPr>
        <w:t xml:space="preserve"> </w:t>
      </w:r>
      <w:r>
        <w:rPr>
          <w:rFonts w:ascii="Times New Roman" w:hAnsi="Times New Roman"/>
          <w:sz w:val="26"/>
          <w:szCs w:val="26"/>
        </w:rPr>
        <w:t xml:space="preserve">за в. Новинар;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sz w:val="22"/>
          <w:szCs w:val="22"/>
          <w:lang w:val="en-US"/>
        </w:rPr>
        <w:t xml:space="preserve"> </w:t>
      </w:r>
      <w:r>
        <w:rPr>
          <w:rFonts w:ascii="Times New Roman" w:hAnsi="Times New Roman"/>
          <w:sz w:val="26"/>
          <w:szCs w:val="26"/>
        </w:rPr>
        <w:t xml:space="preserve">за в. Сега,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sz w:val="22"/>
          <w:szCs w:val="22"/>
          <w:lang w:val="en-US"/>
        </w:rPr>
        <w:t xml:space="preserve"> </w:t>
      </w:r>
      <w:r>
        <w:rPr>
          <w:rFonts w:ascii="Times New Roman" w:hAnsi="Times New Roman"/>
          <w:sz w:val="26"/>
          <w:szCs w:val="26"/>
        </w:rPr>
        <w:t xml:space="preserve">за в. Класа . Налице е по-съществено увеличение на брака при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sz w:val="26"/>
          <w:szCs w:val="26"/>
        </w:rPr>
        <w:t>.  По отношение националните седмичници, нереализираният т</w:t>
      </w:r>
      <w:r>
        <w:rPr>
          <w:rFonts w:ascii="Times New Roman" w:hAnsi="Times New Roman"/>
          <w:sz w:val="26"/>
          <w:szCs w:val="26"/>
        </w:rPr>
        <w:t xml:space="preserve">ираж не превишава 10 %, като единствено през 2011г. нереализираният брой на </w:t>
      </w:r>
      <w:r>
        <w:rPr>
          <w:rFonts w:ascii="Times New Roman" w:hAnsi="Times New Roman"/>
          <w:sz w:val="22"/>
          <w:szCs w:val="22"/>
        </w:rPr>
        <w:t>(...)</w:t>
      </w:r>
      <w:r>
        <w:rPr>
          <w:rFonts w:ascii="Times New Roman" w:hAnsi="Times New Roman"/>
          <w:sz w:val="22"/>
          <w:szCs w:val="22"/>
        </w:rPr>
        <w:sym w:font="Symbol" w:char="F02A"/>
      </w:r>
      <w:r>
        <w:rPr>
          <w:rFonts w:ascii="Times New Roman" w:hAnsi="Times New Roman"/>
          <w:color w:val="FF0000"/>
          <w:sz w:val="26"/>
          <w:szCs w:val="26"/>
        </w:rPr>
        <w:t>,</w:t>
      </w:r>
      <w:r>
        <w:rPr>
          <w:rFonts w:ascii="Times New Roman" w:hAnsi="Times New Roman"/>
          <w:sz w:val="26"/>
          <w:szCs w:val="26"/>
        </w:rPr>
        <w:t xml:space="preserve"> спрямо общо доставения на Групата Герини.</w:t>
      </w:r>
    </w:p>
    <w:p w:rsidR="00000000" w:rsidRDefault="003E498D">
      <w:pPr>
        <w:ind w:firstLine="708"/>
        <w:contextualSpacing/>
        <w:jc w:val="both"/>
        <w:rPr>
          <w:rFonts w:ascii="Times New Roman" w:hAnsi="Times New Roman"/>
          <w:sz w:val="26"/>
          <w:szCs w:val="26"/>
        </w:rPr>
      </w:pPr>
      <w:r>
        <w:rPr>
          <w:rFonts w:ascii="Times New Roman" w:hAnsi="Times New Roman"/>
          <w:sz w:val="26"/>
          <w:szCs w:val="26"/>
        </w:rPr>
        <w:t>Комисията изиска информация и от анкетираните издатели за отпечатания и реализиран тираж на техните издания. В таблиците по-долу с</w:t>
      </w:r>
      <w:r>
        <w:rPr>
          <w:rFonts w:ascii="Times New Roman" w:hAnsi="Times New Roman"/>
          <w:sz w:val="26"/>
          <w:szCs w:val="26"/>
        </w:rPr>
        <w:t>а обобщени тези  данни отделно за национални ежедневници и седмичници.</w:t>
      </w:r>
    </w:p>
    <w:p w:rsidR="00000000" w:rsidRDefault="003E498D">
      <w:pPr>
        <w:pStyle w:val="NoSpacing"/>
        <w:contextualSpacing/>
        <w:jc w:val="right"/>
        <w:rPr>
          <w:rFonts w:ascii="Times New Roman" w:hAnsi="Times New Roman"/>
          <w:sz w:val="26"/>
          <w:szCs w:val="26"/>
          <w:lang w:val="en-US"/>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Таблица № 2</w:t>
      </w:r>
      <w:r>
        <w:rPr>
          <w:rFonts w:ascii="Times New Roman" w:hAnsi="Times New Roman"/>
          <w:sz w:val="26"/>
          <w:szCs w:val="26"/>
          <w:lang w:val="en-US"/>
        </w:rPr>
        <w:t>2</w:t>
      </w:r>
      <w:r>
        <w:rPr>
          <w:rFonts w:ascii="Times New Roman" w:hAnsi="Times New Roman"/>
          <w:kern w:val="16"/>
          <w:sz w:val="26"/>
          <w:szCs w:val="26"/>
          <w:lang w:eastAsia="bg-BG"/>
        </w:rPr>
        <w:t>(….)*</w:t>
      </w:r>
    </w:p>
    <w:tbl>
      <w:tblPr>
        <w:tblW w:w="0" w:type="auto"/>
        <w:tblLayout w:type="fixed"/>
        <w:tblLook w:val="0000" w:firstRow="0" w:lastRow="0" w:firstColumn="0" w:lastColumn="0" w:noHBand="0" w:noVBand="0"/>
      </w:tblPr>
      <w:tblGrid>
        <w:gridCol w:w="9288"/>
      </w:tblGrid>
      <w:tr w:rsidR="00000000">
        <w:tc>
          <w:tcPr>
            <w:tcW w:w="9288" w:type="dxa"/>
          </w:tcPr>
          <w:p w:rsidR="00000000" w:rsidRDefault="003E498D">
            <w:pPr>
              <w:pStyle w:val="NoSpacing"/>
              <w:contextualSpacing/>
              <w:jc w:val="center"/>
              <w:rPr>
                <w:rFonts w:ascii="Times New Roman" w:hAnsi="Times New Roman"/>
                <w:sz w:val="26"/>
                <w:szCs w:val="26"/>
              </w:rPr>
            </w:pPr>
            <w:r>
              <w:rPr>
                <w:rFonts w:ascii="Times New Roman" w:hAnsi="Times New Roman"/>
                <w:sz w:val="26"/>
                <w:szCs w:val="26"/>
              </w:rPr>
              <w:t>Национални ежедневници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000000">
              <w:tc>
                <w:tcPr>
                  <w:tcW w:w="9776" w:type="dxa"/>
                </w:tcPr>
                <w:p w:rsidR="00000000" w:rsidRDefault="003E498D">
                  <w:pPr>
                    <w:pStyle w:val="NoSpacing"/>
                    <w:contextualSpacing/>
                    <w:rPr>
                      <w:rFonts w:ascii="Times New Roman" w:hAnsi="Times New Roman"/>
                      <w:i/>
                      <w:sz w:val="26"/>
                      <w:szCs w:val="26"/>
                    </w:rPr>
                  </w:pPr>
                  <w:r>
                    <w:object w:dxaOrig="12347" w:dyaOrig="3480">
                      <v:shape id="_x0000_i1053" type="#_x0000_t75" style="width:453pt;height:128.25pt;mso-wrap-style:square;mso-position-horizontal-relative:page;mso-position-vertical-relative:page" o:ole="">
                        <v:imagedata r:id="rId65" o:title=""/>
                      </v:shape>
                      <o:OLEObject Type="Embed" ProgID="PBrush" ShapeID="_x0000_i1053" DrawAspect="Content" ObjectID="_1448021990" r:id="rId66"/>
                    </w:object>
                  </w:r>
                </w:p>
              </w:tc>
            </w:tr>
          </w:tbl>
          <w:p w:rsidR="00000000" w:rsidRDefault="003E498D">
            <w:pPr>
              <w:pStyle w:val="NoSpacing"/>
              <w:contextualSpacing/>
              <w:jc w:val="both"/>
              <w:rPr>
                <w:rFonts w:ascii="Times New Roman" w:hAnsi="Times New Roman"/>
                <w:i/>
                <w:sz w:val="26"/>
                <w:szCs w:val="26"/>
              </w:rPr>
            </w:pPr>
          </w:p>
        </w:tc>
      </w:tr>
    </w:tbl>
    <w:p w:rsidR="00000000" w:rsidRDefault="003E498D">
      <w:pPr>
        <w:pStyle w:val="NoSpacing"/>
        <w:contextualSpacing/>
        <w:jc w:val="both"/>
        <w:rPr>
          <w:rFonts w:ascii="Times New Roman" w:hAnsi="Times New Roman"/>
          <w:i/>
          <w:sz w:val="26"/>
          <w:szCs w:val="26"/>
        </w:rPr>
      </w:pPr>
    </w:p>
    <w:p w:rsidR="00000000" w:rsidRDefault="003E498D">
      <w:pPr>
        <w:pStyle w:val="NoSpacing"/>
        <w:ind w:firstLine="708"/>
        <w:contextualSpacing/>
        <w:jc w:val="both"/>
        <w:rPr>
          <w:rFonts w:ascii="Times New Roman" w:hAnsi="Times New Roman"/>
          <w:i/>
          <w:sz w:val="26"/>
          <w:szCs w:val="26"/>
          <w:lang w:val="en-US"/>
        </w:rPr>
      </w:pPr>
      <w:r>
        <w:rPr>
          <w:rFonts w:ascii="Times New Roman" w:hAnsi="Times New Roman"/>
          <w:sz w:val="26"/>
          <w:szCs w:val="26"/>
        </w:rPr>
        <w:lastRenderedPageBreak/>
        <w:t>От данните в таблицата може да се направи заключението, че се откроява тенденция на увеличаване нереализираната пр</w:t>
      </w:r>
      <w:r>
        <w:rPr>
          <w:rFonts w:ascii="Times New Roman" w:hAnsi="Times New Roman"/>
          <w:sz w:val="26"/>
          <w:szCs w:val="26"/>
        </w:rPr>
        <w:t xml:space="preserve">одукция на изброените национални ежедневници за изследвания период. Единствено при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процентът на брака спрямо общо отпечатания тираж на изданието не е претърпял промени през трите години. Най-голям процент нереализирана продукция е налице при в</w:t>
      </w:r>
      <w:r>
        <w:rPr>
          <w:rFonts w:ascii="Times New Roman" w:hAnsi="Times New Roman"/>
          <w:color w:val="FF0000"/>
          <w:sz w:val="26"/>
          <w:szCs w:val="26"/>
        </w:rPr>
        <w:t xml:space="preserve">. </w:t>
      </w:r>
      <w:r>
        <w:rPr>
          <w:rFonts w:ascii="Times New Roman" w:hAnsi="Times New Roman"/>
        </w:rPr>
        <w:t>(...</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НБМГХ и нейните дъщерни дружества не са представили данни за издаваните от тях ежедневници (в.Монитор и в.Телеграф) и седмичник (Политика днес). Така очертаната тенденция според издателите е в пряка зависимост от намаленото търсене на печатни издания и</w:t>
      </w:r>
      <w:r>
        <w:rPr>
          <w:rFonts w:ascii="Times New Roman" w:hAnsi="Times New Roman"/>
          <w:sz w:val="26"/>
          <w:szCs w:val="26"/>
        </w:rPr>
        <w:t xml:space="preserve"> възможността за научаване на новините и по интернет (тъй като почти всички издатели имат и електронни издания). </w:t>
      </w:r>
    </w:p>
    <w:p w:rsidR="00000000" w:rsidRDefault="003E498D">
      <w:pPr>
        <w:pStyle w:val="NoSpacing"/>
        <w:contextualSpacing/>
        <w:jc w:val="right"/>
        <w:rPr>
          <w:rFonts w:ascii="Times New Roman" w:hAnsi="Times New Roman"/>
          <w:kern w:val="16"/>
          <w:sz w:val="26"/>
          <w:szCs w:val="26"/>
          <w:lang w:val="en-US" w:eastAsia="bg-BG"/>
        </w:rPr>
      </w:pPr>
      <w:r>
        <w:rPr>
          <w:rFonts w:ascii="Times New Roman" w:hAnsi="Times New Roman"/>
          <w:sz w:val="26"/>
          <w:szCs w:val="26"/>
        </w:rPr>
        <w:t>Таблица № 2</w:t>
      </w:r>
      <w:r>
        <w:rPr>
          <w:rFonts w:ascii="Times New Roman" w:hAnsi="Times New Roman"/>
          <w:sz w:val="26"/>
          <w:szCs w:val="26"/>
          <w:lang w:val="en-US"/>
        </w:rPr>
        <w:t>3</w:t>
      </w:r>
      <w:r>
        <w:rPr>
          <w:rFonts w:ascii="Times New Roman" w:hAnsi="Times New Roman"/>
          <w:sz w:val="26"/>
          <w:szCs w:val="26"/>
        </w:rPr>
        <w:t xml:space="preserve"> </w:t>
      </w:r>
      <w:r>
        <w:rPr>
          <w:rFonts w:ascii="Times New Roman" w:hAnsi="Times New Roman"/>
          <w:kern w:val="16"/>
          <w:sz w:val="26"/>
          <w:szCs w:val="26"/>
          <w:lang w:eastAsia="bg-BG"/>
        </w:rPr>
        <w:t>(….)*</w:t>
      </w:r>
    </w:p>
    <w:tbl>
      <w:tblPr>
        <w:tblW w:w="0" w:type="auto"/>
        <w:tblInd w:w="108" w:type="dxa"/>
        <w:tblLayout w:type="fixed"/>
        <w:tblLook w:val="0000" w:firstRow="0" w:lastRow="0" w:firstColumn="0" w:lastColumn="0" w:noHBand="0" w:noVBand="0"/>
      </w:tblPr>
      <w:tblGrid>
        <w:gridCol w:w="9180"/>
      </w:tblGrid>
      <w:tr w:rsidR="00000000">
        <w:tc>
          <w:tcPr>
            <w:tcW w:w="918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9"/>
            </w:tblGrid>
            <w:tr w:rsidR="00000000">
              <w:tc>
                <w:tcPr>
                  <w:tcW w:w="9209" w:type="dxa"/>
                </w:tcPr>
                <w:p w:rsidR="00000000" w:rsidRDefault="003E498D">
                  <w:pPr>
                    <w:pStyle w:val="NoSpacing"/>
                    <w:contextualSpacing/>
                    <w:jc w:val="both"/>
                    <w:rPr>
                      <w:rFonts w:ascii="Times New Roman" w:hAnsi="Times New Roman"/>
                      <w:i/>
                      <w:sz w:val="26"/>
                      <w:szCs w:val="26"/>
                      <w:lang w:val="en-US"/>
                    </w:rPr>
                  </w:pPr>
                  <w:r>
                    <w:object w:dxaOrig="12810" w:dyaOrig="4116">
                      <v:shape id="_x0000_i1054" type="#_x0000_t75" style="width:441pt;height:141.75pt;mso-wrap-style:square;mso-position-horizontal-relative:page;mso-position-vertical-relative:page" o:ole="">
                        <v:imagedata r:id="rId67" o:title=""/>
                      </v:shape>
                      <o:OLEObject Type="Embed" ProgID="PBrush" ShapeID="_x0000_i1054" DrawAspect="Content" ObjectID="_1448021991" r:id="rId68"/>
                    </w:object>
                  </w:r>
                </w:p>
              </w:tc>
            </w:tr>
          </w:tbl>
          <w:p w:rsidR="00000000" w:rsidRDefault="003E498D">
            <w:pPr>
              <w:pStyle w:val="NoSpacing"/>
              <w:contextualSpacing/>
              <w:jc w:val="both"/>
              <w:rPr>
                <w:rFonts w:ascii="Times New Roman" w:hAnsi="Times New Roman"/>
                <w:i/>
                <w:sz w:val="26"/>
                <w:szCs w:val="26"/>
              </w:rPr>
            </w:pPr>
          </w:p>
        </w:tc>
      </w:tr>
    </w:tbl>
    <w:p w:rsidR="00000000" w:rsidRDefault="003E498D">
      <w:pPr>
        <w:pStyle w:val="NoSpacing"/>
        <w:ind w:firstLine="708"/>
        <w:contextualSpacing/>
        <w:jc w:val="both"/>
        <w:rPr>
          <w:rFonts w:ascii="Times New Roman" w:hAnsi="Times New Roman"/>
          <w:sz w:val="26"/>
          <w:szCs w:val="26"/>
          <w:lang w:val="en-US"/>
        </w:rPr>
      </w:pP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При националните седмичници, също е налице увеличаване броя на нереализираната продукция. Въз основ</w:t>
      </w:r>
      <w:r>
        <w:rPr>
          <w:rFonts w:ascii="Times New Roman" w:hAnsi="Times New Roman"/>
          <w:sz w:val="26"/>
          <w:szCs w:val="26"/>
        </w:rPr>
        <w:t xml:space="preserve">а на данните най-значимо намаляване (почти два пъти и половина) на реализирания тираж има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който достига до </w:t>
      </w:r>
      <w:r>
        <w:rPr>
          <w:rFonts w:ascii="Times New Roman" w:hAnsi="Times New Roman"/>
        </w:rPr>
        <w:t>(...)</w:t>
      </w:r>
      <w:r>
        <w:rPr>
          <w:rFonts w:ascii="Times New Roman" w:hAnsi="Times New Roman"/>
        </w:rPr>
        <w:sym w:font="Symbol" w:char="F02A"/>
      </w:r>
      <w:r>
        <w:rPr>
          <w:rFonts w:ascii="Times New Roman" w:hAnsi="Times New Roman"/>
          <w:lang w:val="en-US"/>
        </w:rPr>
        <w:t xml:space="preserve"> </w:t>
      </w:r>
      <w:r>
        <w:rPr>
          <w:rFonts w:ascii="Times New Roman" w:hAnsi="Times New Roman"/>
          <w:sz w:val="26"/>
          <w:szCs w:val="26"/>
        </w:rPr>
        <w:t xml:space="preserve">през 2011 г. спрямо 2009 г., когато е бил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w:t>
      </w:r>
      <w:r>
        <w:rPr>
          <w:rFonts w:ascii="Times New Roman" w:hAnsi="Times New Roman"/>
          <w:sz w:val="26"/>
          <w:szCs w:val="26"/>
        </w:rPr>
        <w:t xml:space="preserve">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 </w:t>
      </w:r>
    </w:p>
    <w:p w:rsidR="00000000" w:rsidRDefault="003E498D">
      <w:pPr>
        <w:pStyle w:val="NoSpacing"/>
        <w:contextualSpacing/>
        <w:jc w:val="both"/>
        <w:rPr>
          <w:rFonts w:ascii="Times New Roman" w:hAnsi="Times New Roman"/>
          <w:b/>
          <w:sz w:val="26"/>
          <w:szCs w:val="26"/>
        </w:rPr>
      </w:pPr>
      <w:r>
        <w:rPr>
          <w:rFonts w:ascii="Times New Roman" w:hAnsi="Times New Roman"/>
          <w:b/>
          <w:sz w:val="26"/>
          <w:szCs w:val="26"/>
        </w:rPr>
        <w:t>4.7. Бариери за навлизане на всеки един от вертикално свързаните пазари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Отново с </w:t>
      </w:r>
      <w:r>
        <w:rPr>
          <w:rFonts w:ascii="Times New Roman" w:hAnsi="Times New Roman"/>
          <w:sz w:val="26"/>
          <w:szCs w:val="26"/>
        </w:rPr>
        <w:t xml:space="preserve">оглед тясната зависимост между дейността по издаване на печатни издания и тяхното разпространение, Комисията прецени да изиска информация и анализира условията за навлизане на всяко едно ниво от този вертикално свързан процес, а именно от тяхното издаване </w:t>
      </w:r>
      <w:r>
        <w:rPr>
          <w:rFonts w:ascii="Times New Roman" w:hAnsi="Times New Roman"/>
          <w:sz w:val="26"/>
          <w:szCs w:val="26"/>
        </w:rPr>
        <w:t xml:space="preserve">до крайната им реализация.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При извършването на настоящия анализ Комисията изиска от основните участници на разглежданите пазари да посочат дали съществуват бариери от правно-административен характер (наличие на регулаторни режими, изисквания, ограничения,</w:t>
      </w:r>
      <w:r>
        <w:rPr>
          <w:rFonts w:ascii="Times New Roman" w:hAnsi="Times New Roman"/>
          <w:sz w:val="26"/>
          <w:szCs w:val="26"/>
        </w:rPr>
        <w:t xml:space="preserve"> др.), структурни  бариери (каквито са например първоначално необходими разходи и инвестиции за започване на дейността, както и икономии от мащаба, транспортни разходи, ниво на търсене и предлагане и др. ) и доколко поведението на вече установените на паза</w:t>
      </w:r>
      <w:r>
        <w:rPr>
          <w:rFonts w:ascii="Times New Roman" w:hAnsi="Times New Roman"/>
          <w:sz w:val="26"/>
          <w:szCs w:val="26"/>
        </w:rPr>
        <w:t xml:space="preserve">ра предприятия (стратегически бариери) се явява пречка пред новонавлизащите да се установят на пазара. </w:t>
      </w:r>
    </w:p>
    <w:p w:rsidR="00000000" w:rsidRDefault="003E498D">
      <w:pPr>
        <w:pStyle w:val="NoSpacing"/>
        <w:ind w:firstLine="708"/>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b/>
          <w:sz w:val="26"/>
          <w:szCs w:val="26"/>
        </w:rPr>
      </w:pPr>
      <w:r>
        <w:rPr>
          <w:rFonts w:ascii="Times New Roman" w:hAnsi="Times New Roman"/>
          <w:b/>
          <w:sz w:val="26"/>
          <w:szCs w:val="26"/>
        </w:rPr>
        <w:t xml:space="preserve">4.7.1 Становища на анкетираните предприятия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По-подробна информация относно условията за навлизане на пазара предоставиха издателите. На база дългогоди</w:t>
      </w:r>
      <w:r>
        <w:rPr>
          <w:rFonts w:ascii="Times New Roman" w:hAnsi="Times New Roman"/>
          <w:sz w:val="26"/>
          <w:szCs w:val="26"/>
        </w:rPr>
        <w:t xml:space="preserve">шния опит на по-голямата част от анкетираните издатели при договарянето за разпространението на техните </w:t>
      </w:r>
      <w:r>
        <w:rPr>
          <w:rFonts w:ascii="Times New Roman" w:hAnsi="Times New Roman"/>
          <w:sz w:val="26"/>
          <w:szCs w:val="26"/>
        </w:rPr>
        <w:lastRenderedPageBreak/>
        <w:t>издания, както и с оглед необходимите разходи за започване и извършване на издателска дейност същите открояват наличието на структурни и стратегически б</w:t>
      </w:r>
      <w:r>
        <w:rPr>
          <w:rFonts w:ascii="Times New Roman" w:hAnsi="Times New Roman"/>
          <w:sz w:val="26"/>
          <w:szCs w:val="26"/>
        </w:rPr>
        <w:t>ариери за навлизане на издателския пазар.</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 своите становища до Комисията дистрибуторите изтъкват, че на практика всяко дружество, регистрирано по Търговския закон, в чийто предмет на дейност е включено разпространението на печатни издания, може да извършв</w:t>
      </w:r>
      <w:r>
        <w:rPr>
          <w:rFonts w:ascii="Times New Roman" w:hAnsi="Times New Roman"/>
          <w:sz w:val="26"/>
          <w:szCs w:val="26"/>
        </w:rPr>
        <w:t xml:space="preserve">а дистрибуция, тъй като не съществуват нормативни ограничения за това.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Като цяло следва да бъде отбелязано, че запитаните дружества посочват без изключение, че не съществуват правно-административни бариери за навлизане на нито един от анализираните пазари</w:t>
      </w:r>
      <w:r>
        <w:rPr>
          <w:rFonts w:ascii="Times New Roman" w:hAnsi="Times New Roman"/>
          <w:sz w:val="26"/>
          <w:szCs w:val="26"/>
        </w:rPr>
        <w:t>. Липсата на регулаторен режим за издателската  дейност дори се сочи в повечето получени становища (Съюз на издателите в България, Агенция Стрела ЕООД, МГБХ; Дума 2008 ЕООД; Разпространение на печата АД, Полиграфснаб АД, Доби Прес ЕООД и др.) като недостат</w:t>
      </w:r>
      <w:r>
        <w:rPr>
          <w:rFonts w:ascii="Times New Roman" w:hAnsi="Times New Roman"/>
          <w:sz w:val="26"/>
          <w:szCs w:val="26"/>
        </w:rPr>
        <w:t xml:space="preserve">ък на нормативната уредба в страната. Голям брой от запитаните дружества считат, че освен от правно-административен, не съществуват бариери и от структурен и стратегически характер. </w:t>
      </w:r>
    </w:p>
    <w:p w:rsidR="00000000" w:rsidRDefault="003E498D">
      <w:pPr>
        <w:pStyle w:val="NoSpacing"/>
        <w:ind w:firstLine="708"/>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rPr>
      </w:pPr>
      <w:r>
        <w:rPr>
          <w:rFonts w:ascii="Times New Roman" w:hAnsi="Times New Roman"/>
          <w:b/>
          <w:sz w:val="26"/>
          <w:szCs w:val="26"/>
        </w:rPr>
        <w:t>4.7.1.1 Бариери при издаването на вестници и списания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Становищата на изд</w:t>
      </w:r>
      <w:r>
        <w:rPr>
          <w:rFonts w:ascii="Times New Roman" w:hAnsi="Times New Roman"/>
          <w:sz w:val="26"/>
          <w:szCs w:val="26"/>
        </w:rPr>
        <w:t>ателите, предоставени на Комисията, отбелязват в повечето случаи, че глобалната финансова криза е довела както до спад на тиражите на изданията, поради намалена покупателна способност на читателите, така и до натрупване на трудно събираеми вземания от разп</w:t>
      </w:r>
      <w:r>
        <w:rPr>
          <w:rFonts w:ascii="Times New Roman" w:hAnsi="Times New Roman"/>
          <w:sz w:val="26"/>
          <w:szCs w:val="26"/>
        </w:rPr>
        <w:t>ространителите. Като бариери се сочат също покачването на разходите за печат, които правят издаването на определени заглавия икономически нецелесъобразно или намаляват значително печалбата за издателя.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Така например „Ню Медиа Груп“ АД посочва, че поради  н</w:t>
      </w:r>
      <w:r>
        <w:rPr>
          <w:rFonts w:ascii="Times New Roman" w:hAnsi="Times New Roman"/>
          <w:sz w:val="26"/>
          <w:szCs w:val="26"/>
        </w:rPr>
        <w:t>амалената покупателна способност и с цел да бъдат задържани клиентите, като бонус  се включват малки книжни поредици към изданията. Дружеството счита, че искането на по-високи отстъпки от страна на разпространителите за нови издания затруднява от финансова</w:t>
      </w:r>
      <w:r>
        <w:rPr>
          <w:rFonts w:ascii="Times New Roman" w:hAnsi="Times New Roman"/>
          <w:sz w:val="26"/>
          <w:szCs w:val="26"/>
        </w:rPr>
        <w:t xml:space="preserve"> гледна точка тяхното издаване с оглед покачването на  материалите за печат. По този начин се създава допълнително една бариера пред новите заглавия, които се пускат за продажба на пазара.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Според „Торнадо Медия“ ЕООД  достъпът до пазара се ограничава и при</w:t>
      </w:r>
      <w:r>
        <w:rPr>
          <w:rFonts w:ascii="Times New Roman" w:hAnsi="Times New Roman"/>
          <w:sz w:val="26"/>
          <w:szCs w:val="26"/>
        </w:rPr>
        <w:t xml:space="preserve"> липсата на принадлежност към някоя от двете големи групи чрез скриване на изданието от павилионите (сергиите) на техните дистрибуторски фирми. На практика новонавлизащите и вече присъстващите на пазара дружества трябва да се ориентират към договорни отнош</w:t>
      </w:r>
      <w:r>
        <w:rPr>
          <w:rFonts w:ascii="Times New Roman" w:hAnsi="Times New Roman"/>
          <w:sz w:val="26"/>
          <w:szCs w:val="26"/>
        </w:rPr>
        <w:t>ения с дружества от тези групи.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Като немаловажна бариера пред участниците на издателския пазар се посочва и междуфирмената задлъжнялост. Неуредените задължения на търговците на едро към издателите водят до затрудненото  разпространение на техните издания в</w:t>
      </w:r>
      <w:r>
        <w:rPr>
          <w:rFonts w:ascii="Times New Roman" w:hAnsi="Times New Roman"/>
          <w:sz w:val="26"/>
          <w:szCs w:val="26"/>
        </w:rPr>
        <w:t xml:space="preserve"> определени региони.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Издателят на вестник  Новинар („Новинар Медиа“ ЕАД) изтъква като съществена бариера за навлизане лоялността на читателите към дадено издание,  която прави трудно преориентирането на определена читателска аудитория към </w:t>
      </w:r>
      <w:r>
        <w:rPr>
          <w:rFonts w:ascii="Times New Roman" w:hAnsi="Times New Roman"/>
          <w:sz w:val="26"/>
          <w:szCs w:val="26"/>
        </w:rPr>
        <w:lastRenderedPageBreak/>
        <w:t>други издания. Др</w:t>
      </w:r>
      <w:r>
        <w:rPr>
          <w:rFonts w:ascii="Times New Roman" w:hAnsi="Times New Roman"/>
          <w:sz w:val="26"/>
          <w:szCs w:val="26"/>
        </w:rPr>
        <w:t>ужеството също акцентира и на поскъпването на материалите за печат, което оскъпява значително отпечатването на изданията.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Освен липсата на регулаторен режим, който да урежда отношенията издател – разпространител, „Санома Блясък България“ АД посочва, че не </w:t>
      </w:r>
      <w:r>
        <w:rPr>
          <w:rFonts w:ascii="Times New Roman" w:hAnsi="Times New Roman"/>
          <w:sz w:val="26"/>
          <w:szCs w:val="26"/>
        </w:rPr>
        <w:t>са установени и законови изисквания, на които издатели и разпространители трябва да отговарят, за да оперират на пазара.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В своя отговор до Комисията „Икономедиа“ АД посочва, че първоначалните инвестиции, които се явяват бариера за навлизане на издателския </w:t>
      </w:r>
      <w:r>
        <w:rPr>
          <w:rFonts w:ascii="Times New Roman" w:hAnsi="Times New Roman"/>
          <w:sz w:val="26"/>
          <w:szCs w:val="26"/>
        </w:rPr>
        <w:t>пазар, зависят от формата на изданието, тиража му, неговия брой страници, хартия, периодичност. За издаване на седмичен вестник например с тираж 2000 броя са необходими годишно 500 000 лева. Като стратегическа бариера се посочват и споразуменията за достав</w:t>
      </w:r>
      <w:r>
        <w:rPr>
          <w:rFonts w:ascii="Times New Roman" w:hAnsi="Times New Roman"/>
          <w:sz w:val="26"/>
          <w:szCs w:val="26"/>
        </w:rPr>
        <w:t>ка на материали, както и вече установеното устойчиво присъствие на някои медийни групи. „Икономедиа“ АД счита, че преодоляването на бариерите е затруднено основно от финансова гледна точка, тъй като намаляването на интереса към печатните издания пречи на и</w:t>
      </w:r>
      <w:r>
        <w:rPr>
          <w:rFonts w:ascii="Times New Roman" w:hAnsi="Times New Roman"/>
          <w:sz w:val="26"/>
          <w:szCs w:val="26"/>
        </w:rPr>
        <w:t>здателите да се финансират устойчиво от своите читатели. От друга страна глобалната финансова несигурност възпира банките да финансират издаването на печатни издания.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Според издателите на вестник Уикенд („Ню Медиа Груп” АД) и на в. Галерия – „Кроз“ АД нело</w:t>
      </w:r>
      <w:r>
        <w:rPr>
          <w:rFonts w:ascii="Times New Roman" w:hAnsi="Times New Roman"/>
          <w:sz w:val="26"/>
          <w:szCs w:val="26"/>
        </w:rPr>
        <w:t xml:space="preserve">ялните конкурентни практики също създават бариери за навлизане на този пазар, без да се посочва конкретно в какво се изразяват те. </w:t>
      </w:r>
    </w:p>
    <w:p w:rsidR="00000000" w:rsidRDefault="003E498D">
      <w:pPr>
        <w:pStyle w:val="NoSpacing"/>
        <w:contextualSpacing/>
        <w:jc w:val="both"/>
        <w:rPr>
          <w:rFonts w:ascii="Times New Roman" w:hAnsi="Times New Roman"/>
          <w:b/>
          <w:sz w:val="26"/>
          <w:szCs w:val="26"/>
          <w:lang w:val="en-US"/>
        </w:rPr>
      </w:pPr>
    </w:p>
    <w:p w:rsidR="00000000" w:rsidRDefault="003E498D">
      <w:pPr>
        <w:pStyle w:val="NoSpacing"/>
        <w:contextualSpacing/>
        <w:jc w:val="both"/>
        <w:rPr>
          <w:rFonts w:ascii="Times New Roman" w:hAnsi="Times New Roman"/>
          <w:b/>
          <w:sz w:val="26"/>
          <w:szCs w:val="26"/>
        </w:rPr>
      </w:pPr>
      <w:r>
        <w:rPr>
          <w:rFonts w:ascii="Times New Roman" w:hAnsi="Times New Roman"/>
          <w:b/>
          <w:sz w:val="26"/>
          <w:szCs w:val="26"/>
        </w:rPr>
        <w:t xml:space="preserve">4.7.1.2 Бариери при разпространението (на едро/дребно) на вестници и списания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Както бе посочено по-горе пред разпространит</w:t>
      </w:r>
      <w:r>
        <w:rPr>
          <w:rFonts w:ascii="Times New Roman" w:hAnsi="Times New Roman"/>
          <w:sz w:val="26"/>
          <w:szCs w:val="26"/>
        </w:rPr>
        <w:t xml:space="preserve">елите не са поставени правни изисквания за осъществяване на този вид дейност. Въпреки това обаче „Български пощи“ ЕАД констатира, че през анализирания от КЗК период не се наблюдава  съществено навлизане на нови участници, които да са променили структурата </w:t>
      </w:r>
      <w:r>
        <w:rPr>
          <w:rFonts w:ascii="Times New Roman" w:hAnsi="Times New Roman"/>
          <w:sz w:val="26"/>
          <w:szCs w:val="26"/>
        </w:rPr>
        <w:t>на пазара.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Като структурна бариера по отношение на дистрибуцията са посочени и необходимите разходи за извършване на тази дейност, които са свързани както със закупуването и поддръжката на транспортни средства, така и със спечелването на обявените общински</w:t>
      </w:r>
      <w:r>
        <w:rPr>
          <w:rFonts w:ascii="Times New Roman" w:hAnsi="Times New Roman"/>
          <w:sz w:val="26"/>
          <w:szCs w:val="26"/>
        </w:rPr>
        <w:t xml:space="preserve"> конкурси или търгове за наемане на будки и павилиони в населените места (при търговците на дребно).</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При разпространението на дребно се очертава като бариера за навлизане изключително високите изисквания към павилионите („Медийна група България Холдинг“ ОО</w:t>
      </w:r>
      <w:r>
        <w:rPr>
          <w:rFonts w:ascii="Times New Roman" w:hAnsi="Times New Roman"/>
          <w:sz w:val="26"/>
          <w:szCs w:val="26"/>
        </w:rPr>
        <w:t>Д). Будките в населените места се определят като брой и място по схема съгласно Закона за устройство на територията и се ползват след проведен конкурс или търг. Във връзка с обявяваните общински търгове за ползване под наем на павилиони за вестници „Герини</w:t>
      </w:r>
      <w:r>
        <w:rPr>
          <w:rFonts w:ascii="Times New Roman" w:hAnsi="Times New Roman"/>
          <w:sz w:val="26"/>
          <w:szCs w:val="26"/>
        </w:rPr>
        <w:t xml:space="preserve"> прес“АД посочва, че не съществуват пречки разпространител на едро или дребно от друг град или регион да участва в такива търгове в друго населено място. Липсата или затрудненият достъп на разпространителя на дребно до печатните издания (като брой и заглав</w:t>
      </w:r>
      <w:r>
        <w:rPr>
          <w:rFonts w:ascii="Times New Roman" w:hAnsi="Times New Roman"/>
          <w:sz w:val="26"/>
          <w:szCs w:val="26"/>
        </w:rPr>
        <w:t xml:space="preserve">ия) се явява непреодолима пречка за извършването и разширяването на тази дейност.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Според „Доби прес“ ЕООД, интегрираността между издатели и търговците на едро създава бариери и изкривява пазара, докато такава </w:t>
      </w:r>
      <w:r>
        <w:rPr>
          <w:rFonts w:ascii="Times New Roman" w:hAnsi="Times New Roman"/>
          <w:sz w:val="26"/>
          <w:szCs w:val="26"/>
        </w:rPr>
        <w:lastRenderedPageBreak/>
        <w:t>интеграция между търговец на едро и търговец н</w:t>
      </w:r>
      <w:r>
        <w:rPr>
          <w:rFonts w:ascii="Times New Roman" w:hAnsi="Times New Roman"/>
          <w:sz w:val="26"/>
          <w:szCs w:val="26"/>
        </w:rPr>
        <w:t>а дребно е икономически обоснована.</w:t>
      </w:r>
    </w:p>
    <w:p w:rsidR="00000000" w:rsidRDefault="003E498D">
      <w:pPr>
        <w:pStyle w:val="NoSpacing"/>
        <w:ind w:firstLine="708"/>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u w:val="single"/>
        </w:rPr>
      </w:pPr>
      <w:r>
        <w:rPr>
          <w:rFonts w:ascii="Times New Roman" w:hAnsi="Times New Roman"/>
          <w:b/>
          <w:sz w:val="26"/>
          <w:szCs w:val="26"/>
        </w:rPr>
        <w:t>4.7.1.3 Изводи</w:t>
      </w:r>
      <w:r>
        <w:rPr>
          <w:rFonts w:ascii="Times New Roman" w:hAnsi="Times New Roman"/>
          <w:sz w:val="26"/>
          <w:szCs w:val="26"/>
          <w:u w:val="single"/>
        </w:rPr>
        <w:t xml:space="preserve">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Бариерите за навлизане са показател за това доколко един пазар е отворен за навлизането на нови участници и дали установилите се вече оператори са възпрепятствани да извършват или разширяват своята дейно</w:t>
      </w:r>
      <w:r>
        <w:rPr>
          <w:rFonts w:ascii="Times New Roman" w:hAnsi="Times New Roman"/>
          <w:sz w:val="26"/>
          <w:szCs w:val="26"/>
        </w:rPr>
        <w:t xml:space="preserve">ст в продуктов и географски аспект.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Във всички медийни индустрии съществуват в различна степен бариери за навлизане, като пазарът на вестници и списания е общопризнат като един от най-трудните за навлизане</w:t>
      </w:r>
      <w:r>
        <w:rPr>
          <w:rStyle w:val="FootnoteReference"/>
          <w:rFonts w:ascii="Times New Roman" w:hAnsi="Times New Roman"/>
          <w:sz w:val="26"/>
          <w:szCs w:val="26"/>
        </w:rPr>
        <w:footnoteReference w:id="28"/>
      </w:r>
      <w:r>
        <w:rPr>
          <w:rFonts w:ascii="Times New Roman" w:hAnsi="Times New Roman"/>
          <w:sz w:val="26"/>
          <w:szCs w:val="26"/>
        </w:rPr>
        <w:t xml:space="preserve">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Въз основа на получената и анализирана информа</w:t>
      </w:r>
      <w:r>
        <w:rPr>
          <w:rFonts w:ascii="Times New Roman" w:hAnsi="Times New Roman"/>
          <w:sz w:val="26"/>
          <w:szCs w:val="26"/>
        </w:rPr>
        <w:t xml:space="preserve">ция, може да се направи заключението, че за разглеждания период (2009 г.-2011 г.) </w:t>
      </w:r>
      <w:r>
        <w:rPr>
          <w:rFonts w:ascii="Times New Roman" w:hAnsi="Times New Roman"/>
          <w:b/>
          <w:i/>
          <w:sz w:val="26"/>
          <w:szCs w:val="26"/>
        </w:rPr>
        <w:t>издаването на вестници и списания</w:t>
      </w:r>
      <w:r>
        <w:rPr>
          <w:rFonts w:ascii="Times New Roman" w:hAnsi="Times New Roman"/>
          <w:sz w:val="26"/>
          <w:szCs w:val="26"/>
        </w:rPr>
        <w:t xml:space="preserve"> се характеризира със съществени и трудно преодолими бариери за навлизане. Аргументите в тази насока са следните: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Вестникарската издателска д</w:t>
      </w:r>
      <w:r>
        <w:rPr>
          <w:rFonts w:ascii="Times New Roman" w:hAnsi="Times New Roman"/>
          <w:sz w:val="26"/>
          <w:szCs w:val="26"/>
        </w:rPr>
        <w:t xml:space="preserve">ейност се характеризира с високи постоянни (фиксирани), невъзвръщаеми разходи (sunk costs) и ниски пределни разходи за допълнителни копия. Високите постоянни разходи и по-малкият размер на пределните разходи позволяват на вестника с най-голям дял на даден </w:t>
      </w:r>
      <w:r>
        <w:rPr>
          <w:rFonts w:ascii="Times New Roman" w:hAnsi="Times New Roman"/>
          <w:sz w:val="26"/>
          <w:szCs w:val="26"/>
        </w:rPr>
        <w:t xml:space="preserve">пазар да бъде по-ефективен, което от своя страна може да доведе до ограничаване на конкуренцията.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Данните относно конкретните разходи и тяхното разпределение по различните дейности в процеса на публикуване на вестника са често различни. Общоизвестно е,  ч</w:t>
      </w:r>
      <w:r>
        <w:rPr>
          <w:rFonts w:ascii="Times New Roman" w:hAnsi="Times New Roman"/>
          <w:sz w:val="26"/>
          <w:szCs w:val="26"/>
        </w:rPr>
        <w:t>е разходите на издателите зависят в голяма степен от пазара на труда, необходим за създаването на съдържание, производството (печат) и разпространение, както и от тези за инвестиции в печатни инфраструктури и разходи за суровини и материали (основно мастил</w:t>
      </w:r>
      <w:r>
        <w:rPr>
          <w:rFonts w:ascii="Times New Roman" w:hAnsi="Times New Roman"/>
          <w:sz w:val="26"/>
          <w:szCs w:val="26"/>
        </w:rPr>
        <w:t>о и хартия).  Обичайно разходите за редакция са между 14 % и 30% от общите разходи, а за производството (вкл. отпечатване и разпространение) варират от  20 % до 50% от общите разходи, в зависимост от това коя методика за дистрибуция се използва (доставка д</w:t>
      </w:r>
      <w:r>
        <w:rPr>
          <w:rFonts w:ascii="Times New Roman" w:hAnsi="Times New Roman"/>
          <w:sz w:val="26"/>
          <w:szCs w:val="26"/>
        </w:rPr>
        <w:t xml:space="preserve">о дома- абонамент или  ръчна продажба).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Цената за първоначално навлизане на пазара е висока, тъй като са налице значителни невъзвръщаеми разходи, които не могат да бъдат възстановени при напускане на сектора. Това от своя страна обезкуражава навлизането и</w:t>
      </w:r>
      <w:r>
        <w:rPr>
          <w:rFonts w:ascii="Times New Roman" w:hAnsi="Times New Roman"/>
          <w:sz w:val="26"/>
          <w:szCs w:val="26"/>
        </w:rPr>
        <w:t xml:space="preserve"> значително увеличава търговския риск. Ето защо потенциалните новонавлизащи са изправени пред необходимостта от повишаване на пазарния дял, за да се постигне високо ниво на ефективност на приемлива цена. Според Ghiglione</w:t>
      </w:r>
      <w:r>
        <w:rPr>
          <w:rStyle w:val="FootnoteReference"/>
          <w:rFonts w:ascii="Times New Roman" w:hAnsi="Times New Roman"/>
          <w:sz w:val="26"/>
          <w:szCs w:val="26"/>
        </w:rPr>
        <w:footnoteReference w:id="29"/>
      </w:r>
      <w:r>
        <w:rPr>
          <w:rFonts w:ascii="Times New Roman" w:hAnsi="Times New Roman"/>
          <w:sz w:val="26"/>
          <w:szCs w:val="26"/>
        </w:rPr>
        <w:t>, за да оцелее един вестник, се изи</w:t>
      </w:r>
      <w:r>
        <w:rPr>
          <w:rFonts w:ascii="Times New Roman" w:hAnsi="Times New Roman"/>
          <w:sz w:val="26"/>
          <w:szCs w:val="26"/>
        </w:rPr>
        <w:t>сква пазарен дял от 40%, което е почти невъзможно да се постигне за всеки потенциален участник на пазара, където друг вестник вече е трайно установен. Изучавайки бариерите за навлизане в индустрията на вестниците и списанията в САЩ</w:t>
      </w:r>
      <w:r>
        <w:rPr>
          <w:rStyle w:val="FootnoteReference"/>
          <w:rFonts w:ascii="Times New Roman" w:hAnsi="Times New Roman"/>
          <w:sz w:val="26"/>
          <w:szCs w:val="26"/>
        </w:rPr>
        <w:footnoteReference w:id="30"/>
      </w:r>
      <w:r>
        <w:rPr>
          <w:rFonts w:ascii="Times New Roman" w:hAnsi="Times New Roman"/>
          <w:sz w:val="26"/>
          <w:szCs w:val="26"/>
        </w:rPr>
        <w:t>, Wirth прави заключение</w:t>
      </w:r>
      <w:r>
        <w:rPr>
          <w:rFonts w:ascii="Times New Roman" w:hAnsi="Times New Roman"/>
          <w:sz w:val="26"/>
          <w:szCs w:val="26"/>
        </w:rPr>
        <w:t xml:space="preserve"> в </w:t>
      </w:r>
      <w:r>
        <w:rPr>
          <w:rFonts w:ascii="Times New Roman" w:hAnsi="Times New Roman"/>
          <w:sz w:val="26"/>
          <w:szCs w:val="26"/>
        </w:rPr>
        <w:lastRenderedPageBreak/>
        <w:t>същата посока. Оказва се, че от 1950 г. само четири американски вестници са били в състояние да се конкурират със съществуващ вестник. В проучването си Wirth заключава, че за едно предприятие би било по-добре да създаде нова радиостанция, отколкото да и</w:t>
      </w:r>
      <w:r>
        <w:rPr>
          <w:rFonts w:ascii="Times New Roman" w:hAnsi="Times New Roman"/>
          <w:sz w:val="26"/>
          <w:szCs w:val="26"/>
        </w:rPr>
        <w:t>здаде нов вестник.</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Предвид високите разходи за първото копие на вестника, успешното навлизане в сектора зависи от икономиите от мащаба. Колкото повече хората купуват определен вестник, толкова са по-ниски средните разходи на копие и по-голяма печалбата на </w:t>
      </w:r>
      <w:r>
        <w:rPr>
          <w:rFonts w:ascii="Times New Roman" w:hAnsi="Times New Roman"/>
          <w:sz w:val="26"/>
          <w:szCs w:val="26"/>
        </w:rPr>
        <w:t xml:space="preserve">неговия издател.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Лоялността на читателите към определени издания също е една от основните пречки за утвърждаването на ново издание. По отношение на пускането на пазара на ново заглавие никое от запитаните дружества не посочва конкретен период, който би би</w:t>
      </w:r>
      <w:r>
        <w:rPr>
          <w:rFonts w:ascii="Times New Roman" w:hAnsi="Times New Roman"/>
          <w:sz w:val="26"/>
          <w:szCs w:val="26"/>
        </w:rPr>
        <w:t>л достатъчен, за да стане то популярно и търсено, т.е. да се утвърди на пазара. Според участниците на английския пазар на издателя са необходими около 12 месеца, за да получи доверието на читателите, и още 12 месеца, за да стане познато и добре прието изда</w:t>
      </w:r>
      <w:r>
        <w:rPr>
          <w:rFonts w:ascii="Times New Roman" w:hAnsi="Times New Roman"/>
          <w:sz w:val="26"/>
          <w:szCs w:val="26"/>
        </w:rPr>
        <w:t>нието му за дистрибуторите. Освен това, след като стартира, новото заглавие би могло да се изправи пред завишена конкуренция от утвърдените заглавия под формата на засилена рекламна дейност за противодействие за обвързване на читатели. Един нов участник не</w:t>
      </w:r>
      <w:r>
        <w:rPr>
          <w:rFonts w:ascii="Times New Roman" w:hAnsi="Times New Roman"/>
          <w:sz w:val="26"/>
          <w:szCs w:val="26"/>
        </w:rPr>
        <w:t xml:space="preserve">избежно понася и допълнителни рекламни и промоционални разходи.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За разлика от новонавлизащия, утвърдилият се вече на пазара издател при издаване на ново заглавие ще срещне по-малко трудности и ще направи по-малко разходи. Това е продиктувано от факта, че</w:t>
      </w:r>
      <w:r>
        <w:rPr>
          <w:rFonts w:ascii="Times New Roman" w:hAnsi="Times New Roman"/>
          <w:sz w:val="26"/>
          <w:szCs w:val="26"/>
        </w:rPr>
        <w:t xml:space="preserve"> той познава много по-добре пазара, отколкото новият участник, има създадени вече бизнес отношения с наети печатници или има своя със свободен капацитет.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 други думи, съществуващите издатели са в най-добра позиция да се възползват от евентуалните икономи</w:t>
      </w:r>
      <w:r>
        <w:rPr>
          <w:rFonts w:ascii="Times New Roman" w:hAnsi="Times New Roman"/>
          <w:sz w:val="26"/>
          <w:szCs w:val="26"/>
        </w:rPr>
        <w:t>и от обема, произтичащ от публикуването на повече от едно заглавие. В тази връзка може да се предположи, че заглавия, които са на загуба, успяват да се поддържат само или предимно от силата на големите издателски групи, които притежават други печеливши заг</w:t>
      </w:r>
      <w:r>
        <w:rPr>
          <w:rFonts w:ascii="Times New Roman" w:hAnsi="Times New Roman"/>
          <w:sz w:val="26"/>
          <w:szCs w:val="26"/>
        </w:rPr>
        <w:t>лавия.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Ето защо като съществена бариера следва да се определи и съществуването на големите издателски групи, изданията на които са утвърдени на пазара и които разполагат с необходимите финансови ресурси за издаване на своите заглавия, както и за пускане на</w:t>
      </w:r>
      <w:r>
        <w:rPr>
          <w:rFonts w:ascii="Times New Roman" w:hAnsi="Times New Roman"/>
          <w:sz w:val="26"/>
          <w:szCs w:val="26"/>
        </w:rPr>
        <w:t xml:space="preserve"> пазара на нови такива - ежедневниците „България Днес“ (съиздатели МГБХ и Недялко Недялков) и „Всеки ден“ (издател Ню Медия Груп АД) се издават от 04.07.2011 г.. В допълнение „Ню Медия Груп“ АД  е прекратило издаването на седмичните вестници : „ШОК”/след м</w:t>
      </w:r>
      <w:r>
        <w:rPr>
          <w:rFonts w:ascii="Times New Roman" w:hAnsi="Times New Roman"/>
          <w:sz w:val="26"/>
          <w:szCs w:val="26"/>
        </w:rPr>
        <w:t>. юни 2011г./, „Контра“/след м. юни 2011г./, „Аз жената“ /след м. февруари 2010г./ и понастоящем издава вестниците ”Уикенд”-седмичник, таблоид, „Минаха години“ -седмичник, както и списанията „Уикенд за жената“ /от м. март 2010г./, „Кулинарен уикенд“ /от м.</w:t>
      </w:r>
      <w:r>
        <w:rPr>
          <w:rFonts w:ascii="Times New Roman" w:hAnsi="Times New Roman"/>
          <w:sz w:val="26"/>
          <w:szCs w:val="26"/>
        </w:rPr>
        <w:t xml:space="preserve"> февруари 2010г./, „Уикенд за градината“/от м. юни 2010г./. При един от основните издатели на списания в страната „Санома Блясък България“ АД също са налице промени в заглавията на отпечатваните от дружеството списания: спира издаването на месечните сп. </w:t>
      </w:r>
      <w:r>
        <w:rPr>
          <w:rFonts w:ascii="Times New Roman" w:hAnsi="Times New Roman"/>
          <w:sz w:val="26"/>
          <w:szCs w:val="26"/>
        </w:rPr>
        <w:lastRenderedPageBreak/>
        <w:t>Ма</w:t>
      </w:r>
      <w:r>
        <w:rPr>
          <w:rFonts w:ascii="Times New Roman" w:hAnsi="Times New Roman"/>
          <w:sz w:val="26"/>
          <w:szCs w:val="26"/>
        </w:rPr>
        <w:t>ксимум (от м. септември 2011 г.) и на сп. Тя от м.септември 2009 г. и започва отпечатването на новото списание „Гответе с мен“ (от м. април 2011 г.).</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Липсата на принадлежност към Група се сочи в повечето отговори като трудно преодолима бариера за навлизане</w:t>
      </w:r>
      <w:r>
        <w:rPr>
          <w:rFonts w:ascii="Times New Roman" w:hAnsi="Times New Roman"/>
          <w:sz w:val="26"/>
          <w:szCs w:val="26"/>
        </w:rPr>
        <w:t xml:space="preserve"> и оцеляване на издателския пазар. В тази връзка „Торнадо Медия“ ЕООД спира да издава седмичника в. Торнадо (в началото на 2012 г.), а „Класа България“ ЕАД намалява значително обема на изданието си (в.Класа) от 24 стр. на 4 стр.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Също така при анализа на б</w:t>
      </w:r>
      <w:r>
        <w:rPr>
          <w:rFonts w:ascii="Times New Roman" w:hAnsi="Times New Roman"/>
          <w:sz w:val="26"/>
          <w:szCs w:val="26"/>
        </w:rPr>
        <w:t>ариерите следва да се отчете и очерталата се тенденция на отлив на читатели от печатните издания и преориентирането им към информиране в онлайн пространството. Допълнително, намалената покупателна способност на потребителите също води до намаляване на прих</w:t>
      </w:r>
      <w:r>
        <w:rPr>
          <w:rFonts w:ascii="Times New Roman" w:hAnsi="Times New Roman"/>
          <w:sz w:val="26"/>
          <w:szCs w:val="26"/>
        </w:rPr>
        <w:t>одите от издателска дейност, при едно постоянно нарастване на разходите за издаване на печатното издание. Това от своя страна поставя пред сериозен проблем оцеляването на пазара, като единствено големите издателски групи имат необходимия ресурс да поддържа</w:t>
      </w:r>
      <w:r>
        <w:rPr>
          <w:rFonts w:ascii="Times New Roman" w:hAnsi="Times New Roman"/>
          <w:sz w:val="26"/>
          <w:szCs w:val="26"/>
        </w:rPr>
        <w:t>т издаването и на непечелившите им издания.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За анализирания период може да се приеме, че пазарът на вестници и списания в страната е добре развит и тясно свързан с географския обхват на разпространение. Стабилността на медийната индустрия води до среда, в </w:t>
      </w:r>
      <w:r>
        <w:rPr>
          <w:rFonts w:ascii="Times New Roman" w:hAnsi="Times New Roman"/>
          <w:sz w:val="26"/>
          <w:szCs w:val="26"/>
        </w:rPr>
        <w:t>която всички медии се борят за навлизане в нов регион. Ето защо, често медийните компании са свързани с хоризонтална и/или вертикална интеграция като средство за постигане на ефективност на разходите и растеж на приходите. В същото време високото ниво на к</w:t>
      </w:r>
      <w:r>
        <w:rPr>
          <w:rFonts w:ascii="Times New Roman" w:hAnsi="Times New Roman"/>
          <w:sz w:val="26"/>
          <w:szCs w:val="26"/>
        </w:rPr>
        <w:t xml:space="preserve">онцентрация на пазара, в следствие от хоризонтална  и вертикална интеграция, затруднява успешното навлизане на нов участник.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b/>
          <w:i/>
          <w:sz w:val="26"/>
          <w:szCs w:val="26"/>
        </w:rPr>
        <w:t>По отношение на пазара на разпространение на печатни издания на едро</w:t>
      </w:r>
      <w:r>
        <w:rPr>
          <w:rFonts w:ascii="Times New Roman" w:hAnsi="Times New Roman"/>
          <w:sz w:val="26"/>
          <w:szCs w:val="26"/>
        </w:rPr>
        <w:t xml:space="preserve"> може да се направи изводът, че не са налице трудно преодолими</w:t>
      </w:r>
      <w:r>
        <w:rPr>
          <w:rFonts w:ascii="Times New Roman" w:hAnsi="Times New Roman"/>
          <w:sz w:val="26"/>
          <w:szCs w:val="26"/>
        </w:rPr>
        <w:t xml:space="preserve"> бариери за навлизане.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Mного независими дистрибутори на едро извършват дейност от един и същи склад и при относително малък мащаб. Основните дълготрайни материални активи, необходими за извършването на дейността, са закупуването и поддръжката на транспорт</w:t>
      </w:r>
      <w:r>
        <w:rPr>
          <w:rFonts w:ascii="Times New Roman" w:hAnsi="Times New Roman"/>
          <w:sz w:val="26"/>
          <w:szCs w:val="26"/>
        </w:rPr>
        <w:t>ни средства (като една част от дистрибуторите ползват и нает транспорт), компютърна техника и софтуер и инвентар за пакетиране и разтоварване на сортираните вестници за разпространение. Изброените активи не изискват големи капиталови разходи, вкл. оборотен</w:t>
      </w:r>
      <w:r>
        <w:rPr>
          <w:rFonts w:ascii="Times New Roman" w:hAnsi="Times New Roman"/>
          <w:sz w:val="26"/>
          <w:szCs w:val="26"/>
        </w:rPr>
        <w:t xml:space="preserve"> капитал за тяхното закупуване или наемане, като последното е обичайна практика както при независимите дистрибутори, така и при големите участници.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Като цяло може да се приеме, че разходите варират в зависимост от обхвата на разпространение (транспортните </w:t>
      </w:r>
      <w:r>
        <w:rPr>
          <w:rFonts w:ascii="Times New Roman" w:hAnsi="Times New Roman"/>
          <w:sz w:val="26"/>
          <w:szCs w:val="26"/>
        </w:rPr>
        <w:t>маршрути, по които разпространяват изданията), броя на търговците на дребно, които обслужват,  обема на доставяния тираж и портфолиото от предлагани заглавия. Икономиите от мащаба в разпространението на едро, произтичащи от обхвата на разпространение на ве</w:t>
      </w:r>
      <w:r>
        <w:rPr>
          <w:rFonts w:ascii="Times New Roman" w:hAnsi="Times New Roman"/>
          <w:sz w:val="26"/>
          <w:szCs w:val="26"/>
        </w:rPr>
        <w:t>стниците и списанията, водят до ефективност на средните разходи, която не е особено значима. Също така не се изисква и наемане на висококвалифициран персонал за осъществяването на този вид дейност или някакво специализирано обучение. Като трудност пред нов</w:t>
      </w:r>
      <w:r>
        <w:rPr>
          <w:rFonts w:ascii="Times New Roman" w:hAnsi="Times New Roman"/>
          <w:sz w:val="26"/>
          <w:szCs w:val="26"/>
        </w:rPr>
        <w:t xml:space="preserve">ия участник на пазара </w:t>
      </w:r>
      <w:r>
        <w:rPr>
          <w:rFonts w:ascii="Times New Roman" w:hAnsi="Times New Roman"/>
          <w:sz w:val="26"/>
          <w:szCs w:val="26"/>
        </w:rPr>
        <w:lastRenderedPageBreak/>
        <w:t xml:space="preserve">може да се посочи  спечелването на доверието на издателите и получаването на достатъчен брой договори за разпространение на издания.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Реално на този пазар не съществуват бариери, но между участниците на него съществува изострена конку</w:t>
      </w:r>
      <w:r>
        <w:rPr>
          <w:rFonts w:ascii="Times New Roman" w:hAnsi="Times New Roman"/>
          <w:sz w:val="26"/>
          <w:szCs w:val="26"/>
        </w:rPr>
        <w:t>ренция за сключване на договори с големите  вериги супермаркети и бензиностанции. По-големите търговци на едро са предпочитан доставчик, тъй като те имат необходимите транспортни средства и други ресурси, за да обслужват и да обхванат всички или повечето о</w:t>
      </w:r>
      <w:r>
        <w:rPr>
          <w:rFonts w:ascii="Times New Roman" w:hAnsi="Times New Roman"/>
          <w:sz w:val="26"/>
          <w:szCs w:val="26"/>
        </w:rPr>
        <w:t>бекти на веригите. Наблюдават се дори бартерни сделки, като срещу доставката на печатни издания бензиностанциите зареждат с гориво превозните средства на разпространителя, а доставката на преса служи като гаранция по договорите за доставка на горива. В таз</w:t>
      </w:r>
      <w:r>
        <w:rPr>
          <w:rFonts w:ascii="Times New Roman" w:hAnsi="Times New Roman"/>
          <w:sz w:val="26"/>
          <w:szCs w:val="26"/>
        </w:rPr>
        <w:t>и връзка е становището на „Дженевра“ ЕООД, което в  своята практика е наблюдавало естествен търговски интерес на веригите бензиностанции да продават горива на своите доставчици на печатни издания. В резултат на това по-големите фирми за доставка на печатни</w:t>
      </w:r>
      <w:r>
        <w:rPr>
          <w:rFonts w:ascii="Times New Roman" w:hAnsi="Times New Roman"/>
          <w:sz w:val="26"/>
          <w:szCs w:val="26"/>
        </w:rPr>
        <w:t xml:space="preserve"> издания, които имат съответно и по-голяма консумация на горива, са получили предимство като предпочитан доставчик. По този начин „Дженевра“ ЕООД е било изместено във вериги бензиностанции ( в ЛУКОЙЛ от „Агенция Стрела“ ЕООД и в ШЕЛ от „Булгарпрес“ ООД).</w:t>
      </w:r>
    </w:p>
    <w:p w:rsidR="00000000" w:rsidRDefault="003E498D">
      <w:pPr>
        <w:pStyle w:val="NoSpacing"/>
        <w:ind w:firstLine="708"/>
        <w:contextualSpacing/>
        <w:jc w:val="both"/>
        <w:rPr>
          <w:rFonts w:ascii="Times New Roman" w:hAnsi="Times New Roman"/>
          <w:sz w:val="26"/>
          <w:szCs w:val="26"/>
          <w:lang w:val="en-US"/>
        </w:rPr>
      </w:pPr>
      <w:r>
        <w:rPr>
          <w:rFonts w:ascii="Times New Roman" w:hAnsi="Times New Roman"/>
          <w:sz w:val="26"/>
          <w:szCs w:val="26"/>
        </w:rPr>
        <w:t>С</w:t>
      </w:r>
      <w:r>
        <w:rPr>
          <w:rFonts w:ascii="Times New Roman" w:hAnsi="Times New Roman"/>
          <w:sz w:val="26"/>
          <w:szCs w:val="26"/>
        </w:rPr>
        <w:t>ъгласно получените в хода на анализа данни, някои от разпространителите, освен „Дженевра“ ЕООД, София, са прекратили дейността си по разпространение на вестници и списания – „Куриер 5“ ООД, „Артефакт“ ООД, „Абвес“ ЕООД, , „Слънчев остров“ ЕООД, Благоевград</w:t>
      </w:r>
      <w:r>
        <w:rPr>
          <w:rFonts w:ascii="Times New Roman" w:hAnsi="Times New Roman"/>
          <w:sz w:val="26"/>
          <w:szCs w:val="26"/>
        </w:rPr>
        <w:t>; „Пресзона“ ЕООД</w:t>
      </w:r>
    </w:p>
    <w:p w:rsidR="00000000" w:rsidRDefault="003E498D">
      <w:pPr>
        <w:pStyle w:val="NoSpacing"/>
        <w:ind w:firstLine="708"/>
        <w:contextualSpacing/>
        <w:jc w:val="both"/>
        <w:rPr>
          <w:rFonts w:ascii="Times New Roman" w:hAnsi="Times New Roman"/>
          <w:sz w:val="26"/>
          <w:szCs w:val="26"/>
        </w:rPr>
      </w:pPr>
      <w:r>
        <w:rPr>
          <w:rFonts w:ascii="Times New Roman" w:hAnsi="Times New Roman"/>
          <w:b/>
          <w:i/>
          <w:sz w:val="26"/>
          <w:szCs w:val="26"/>
        </w:rPr>
        <w:t>Разпространението на дребно на вестници и списания</w:t>
      </w:r>
      <w:r>
        <w:rPr>
          <w:rFonts w:ascii="Times New Roman" w:hAnsi="Times New Roman"/>
          <w:sz w:val="26"/>
          <w:szCs w:val="26"/>
        </w:rPr>
        <w:t xml:space="preserve"> също не изисква специализирани помещения или други съоръжения за търговия на дребно, нито от разпространителя се изискват експертни познания в сравнение с търговията на дребно с други про</w:t>
      </w:r>
      <w:r>
        <w:rPr>
          <w:rFonts w:ascii="Times New Roman" w:hAnsi="Times New Roman"/>
          <w:sz w:val="26"/>
          <w:szCs w:val="26"/>
        </w:rPr>
        <w:t xml:space="preserve">дукти. Доставените от дистрибутора на едро вестници се реализират в съответния ден, а непродадени копия се връщат обратно.  В резултат на това много от съществуващите търговски обекти са в състояние  да бъдат дистрибутори на дребно. Разходите по поддръжка </w:t>
      </w:r>
      <w:r>
        <w:rPr>
          <w:rFonts w:ascii="Times New Roman" w:hAnsi="Times New Roman"/>
          <w:sz w:val="26"/>
          <w:szCs w:val="26"/>
        </w:rPr>
        <w:t>на пунктовете за крайна реализация на изданията не са по-големи, в сравнение с  другите видове търговия на дребно.</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 процеса на извършване на настоящия секторен анализ се очерта и друг проблем, който може да се приеме като бариера за навлизане на пазара, а</w:t>
      </w:r>
      <w:r>
        <w:rPr>
          <w:rFonts w:ascii="Times New Roman" w:hAnsi="Times New Roman"/>
          <w:sz w:val="26"/>
          <w:szCs w:val="26"/>
        </w:rPr>
        <w:t xml:space="preserve"> именно спечелването на общински конкурс или търг за ползване на павилиони и маси за ръчна продажба на преса. По принцип тези конкурси се провеждат всяка година, което води до несигурност за търговците през следващата календарна година дали ще могат да изв</w:t>
      </w:r>
      <w:r>
        <w:rPr>
          <w:rFonts w:ascii="Times New Roman" w:hAnsi="Times New Roman"/>
          <w:sz w:val="26"/>
          <w:szCs w:val="26"/>
        </w:rPr>
        <w:t>ършват своята дейност. Спечелването на самия конкурс или търг не е обвързано с това търговецът да има седалище и адрес на управление в същото населено място, нито има изискване същият да извършва дейност в същия регион. Доколкото обаче всяка община е незав</w:t>
      </w:r>
      <w:r>
        <w:rPr>
          <w:rFonts w:ascii="Times New Roman" w:hAnsi="Times New Roman"/>
          <w:sz w:val="26"/>
          <w:szCs w:val="26"/>
        </w:rPr>
        <w:t>исима да определя броя и местата на будките за вестници на нейна територия, то това също може да доведе до съществуването на малко места за ръчна продажба и съответно до създаване на пречка повече търговци да извършват тази дейност. От изключителна важност</w:t>
      </w:r>
      <w:r>
        <w:rPr>
          <w:rFonts w:ascii="Times New Roman" w:hAnsi="Times New Roman"/>
          <w:sz w:val="26"/>
          <w:szCs w:val="26"/>
        </w:rPr>
        <w:t xml:space="preserve"> е на практика броят на пунктовете за ръчна продажба, тъй като това прави търговеца на дребно по-атрактивен за издателите и търговците на едро и съответно предпочитан контрагент по договорите с тях.</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lastRenderedPageBreak/>
        <w:t xml:space="preserve"> Друга възможна трудност за навлизане на вестник в търгов</w:t>
      </w:r>
      <w:r>
        <w:rPr>
          <w:rFonts w:ascii="Times New Roman" w:hAnsi="Times New Roman"/>
          <w:sz w:val="26"/>
          <w:szCs w:val="26"/>
        </w:rPr>
        <w:t>ията на дребно би могла да възникне при получаването на доставки от търговците на едро, които могат да откажат доставките, когато те считат, че районът е адекватно снабден. За бъдещия участник, който желае да продава вестници, основната алтернатива на пове</w:t>
      </w:r>
      <w:r>
        <w:rPr>
          <w:rFonts w:ascii="Times New Roman" w:hAnsi="Times New Roman"/>
          <w:sz w:val="26"/>
          <w:szCs w:val="26"/>
        </w:rPr>
        <w:t>дението на търговци на едро за доставки е да се купи съществуващ павилион или друг търговски обект, който вече предоставя тези заглавия. При тези обстоятелства е рядко за търговците на едро да прекратят доставките на този павилион.</w:t>
      </w:r>
    </w:p>
    <w:p w:rsidR="00000000" w:rsidRDefault="003E498D">
      <w:pPr>
        <w:pStyle w:val="NoSpacing"/>
        <w:ind w:firstLine="708"/>
        <w:contextualSpacing/>
        <w:jc w:val="both"/>
        <w:rPr>
          <w:rFonts w:ascii="Times New Roman" w:hAnsi="Times New Roman"/>
          <w:b/>
          <w:sz w:val="26"/>
          <w:szCs w:val="26"/>
        </w:rPr>
      </w:pPr>
    </w:p>
    <w:p w:rsidR="00000000" w:rsidRDefault="003E498D">
      <w:pPr>
        <w:pStyle w:val="NoSpacing"/>
        <w:ind w:firstLine="708"/>
        <w:contextualSpacing/>
        <w:jc w:val="both"/>
        <w:rPr>
          <w:rFonts w:ascii="Times New Roman" w:hAnsi="Times New Roman"/>
          <w:b/>
          <w:sz w:val="26"/>
          <w:szCs w:val="26"/>
        </w:rPr>
      </w:pPr>
      <w:r>
        <w:rPr>
          <w:rFonts w:ascii="Times New Roman" w:hAnsi="Times New Roman"/>
          <w:b/>
          <w:sz w:val="26"/>
          <w:szCs w:val="26"/>
        </w:rPr>
        <w:t>V. Основни проблеми, ко</w:t>
      </w:r>
      <w:r>
        <w:rPr>
          <w:rFonts w:ascii="Times New Roman" w:hAnsi="Times New Roman"/>
          <w:b/>
          <w:sz w:val="26"/>
          <w:szCs w:val="26"/>
        </w:rPr>
        <w:t>ито срещат издателите и разпространителите на вестници и списания в страната. Препоръки за тяхното разрешаване.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Следва да се посочи, че една част от анкетираните предприятия не посочват съществуващи проблеми в сектора, а други изтъкват и такива, които по с</w:t>
      </w:r>
      <w:r>
        <w:rPr>
          <w:rFonts w:ascii="Times New Roman" w:hAnsi="Times New Roman"/>
          <w:sz w:val="26"/>
          <w:szCs w:val="26"/>
        </w:rPr>
        <w:t>воята същност не могат да бъдат определени като  конкурентни и следователно не попадат в приложното поле на ЗЗК.</w:t>
      </w:r>
    </w:p>
    <w:p w:rsidR="00000000" w:rsidRDefault="003E498D">
      <w:pPr>
        <w:pStyle w:val="NoSpacing"/>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b/>
          <w:sz w:val="26"/>
          <w:szCs w:val="26"/>
        </w:rPr>
      </w:pPr>
      <w:r>
        <w:rPr>
          <w:rFonts w:ascii="Times New Roman" w:hAnsi="Times New Roman"/>
          <w:b/>
          <w:sz w:val="26"/>
          <w:szCs w:val="26"/>
        </w:rPr>
        <w:t>5.1 Издатели</w:t>
      </w: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 xml:space="preserve">„Ню Медиа Груп” АД  </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rPr>
        <w:t xml:space="preserve">Дружеството изброява следните основни проблеми в сектора: </w:t>
      </w:r>
      <w:r>
        <w:rPr>
          <w:rFonts w:ascii="Times New Roman" w:hAnsi="Times New Roman"/>
        </w:rPr>
        <w:t>(...)</w:t>
      </w:r>
      <w:r>
        <w:rPr>
          <w:rFonts w:ascii="Times New Roman" w:hAnsi="Times New Roman"/>
        </w:rPr>
        <w:sym w:font="Symbol" w:char="F02A"/>
      </w:r>
      <w:r>
        <w:rPr>
          <w:rFonts w:ascii="Times New Roman" w:hAnsi="Times New Roman"/>
          <w:sz w:val="26"/>
          <w:szCs w:val="26"/>
        </w:rPr>
        <w:t>.</w:t>
      </w:r>
    </w:p>
    <w:p w:rsidR="00000000" w:rsidRDefault="003E498D">
      <w:pPr>
        <w:pStyle w:val="NoSpacing"/>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u w:val="single"/>
          <w:lang w:val="en-US"/>
        </w:rPr>
      </w:pPr>
    </w:p>
    <w:p w:rsidR="00000000" w:rsidRDefault="003E498D">
      <w:pPr>
        <w:pStyle w:val="NoSpacing"/>
        <w:contextualSpacing/>
        <w:jc w:val="both"/>
        <w:rPr>
          <w:rFonts w:ascii="Times New Roman" w:hAnsi="Times New Roman"/>
          <w:sz w:val="26"/>
          <w:szCs w:val="26"/>
          <w:u w:val="single"/>
          <w:lang w:val="en-US"/>
        </w:rPr>
      </w:pP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 xml:space="preserve">„Класа България“ ЕАД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Дружеството о</w:t>
      </w:r>
      <w:r>
        <w:rPr>
          <w:rFonts w:ascii="Times New Roman" w:hAnsi="Times New Roman"/>
          <w:sz w:val="26"/>
          <w:szCs w:val="26"/>
        </w:rPr>
        <w:t>ткроява като проблеми: продажбата на определени издания под тяхната себестойност; различните търговски отстъпки на издателите; заблуждаващата информация относно тиражите на изданията (с оглед привличането на рекламодатели); неогласяването на бракувания тир</w:t>
      </w:r>
      <w:r>
        <w:rPr>
          <w:rFonts w:ascii="Times New Roman" w:hAnsi="Times New Roman"/>
          <w:sz w:val="26"/>
          <w:szCs w:val="26"/>
        </w:rPr>
        <w:t>аж.</w:t>
      </w:r>
    </w:p>
    <w:p w:rsidR="00000000" w:rsidRDefault="003E498D">
      <w:pPr>
        <w:pStyle w:val="NoSpacing"/>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 xml:space="preserve">„Кроз“ АД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Според „Кроз“ АД разпространението на печата е силно монополизирано</w:t>
      </w:r>
      <w:r>
        <w:rPr>
          <w:rFonts w:ascii="Times New Roman" w:hAnsi="Times New Roman"/>
          <w:color w:val="4F81BD"/>
          <w:sz w:val="26"/>
          <w:szCs w:val="26"/>
        </w:rPr>
        <w:t>,</w:t>
      </w:r>
      <w:r>
        <w:rPr>
          <w:rFonts w:ascii="Times New Roman" w:hAnsi="Times New Roman"/>
          <w:sz w:val="26"/>
          <w:szCs w:val="26"/>
        </w:rPr>
        <w:t xml:space="preserve"> като има две основни фирми за разпространение – НАР ЕАД (с дял над 73 % от пазара) и „Агенция Стрела“ ЕООД (23 %). Определени издания се фаворизират, вестниците и списани</w:t>
      </w:r>
      <w:r>
        <w:rPr>
          <w:rFonts w:ascii="Times New Roman" w:hAnsi="Times New Roman"/>
          <w:sz w:val="26"/>
          <w:szCs w:val="26"/>
        </w:rPr>
        <w:t>ята се подреждат по определен начин, за да се стимулира или ограничи тяхната реализация, крият се тиражи и изкуствено се завишава бракът. Като проблем се посочва и съществуващата вертикална интеграция.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Счита се, че изброените проблеми могат да се решат чре</w:t>
      </w:r>
      <w:r>
        <w:rPr>
          <w:rFonts w:ascii="Times New Roman" w:hAnsi="Times New Roman"/>
          <w:sz w:val="26"/>
          <w:szCs w:val="26"/>
        </w:rPr>
        <w:t>з прилагане на антитръстовите разпоредби с цел избягване прекаленото съсредоточаване на сила в една или две групи.</w:t>
      </w:r>
    </w:p>
    <w:p w:rsidR="00000000" w:rsidRDefault="003E498D">
      <w:pPr>
        <w:pStyle w:val="NoSpacing"/>
        <w:ind w:firstLine="708"/>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„Нова Българска Медийна Група Холдинг“ ЕАД</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Според Холдинга няма проблеми в сектора на пазара на разпространението на печатни издания, които </w:t>
      </w:r>
      <w:r>
        <w:rPr>
          <w:rFonts w:ascii="Times New Roman" w:hAnsi="Times New Roman"/>
          <w:sz w:val="26"/>
          <w:szCs w:val="26"/>
        </w:rPr>
        <w:t>съществено да възпрепятстват конкуренцията. Действия за ограничаване/затрудняване достъпа до пазара или достъпа на печатни издания на конкуренти също  не се наблюдават, тъй като участниците на пазара на разпространение на едро и дребно са много на брой, ко</w:t>
      </w:r>
      <w:r>
        <w:rPr>
          <w:rFonts w:ascii="Times New Roman" w:hAnsi="Times New Roman"/>
          <w:sz w:val="26"/>
          <w:szCs w:val="26"/>
        </w:rPr>
        <w:t xml:space="preserve">ито имат икономически интерес да продават всички издания  и колкото се </w:t>
      </w:r>
      <w:r>
        <w:rPr>
          <w:rFonts w:ascii="Times New Roman" w:hAnsi="Times New Roman"/>
          <w:sz w:val="26"/>
          <w:szCs w:val="26"/>
        </w:rPr>
        <w:lastRenderedPageBreak/>
        <w:t xml:space="preserve">може повече бройки от тях, с оглед търговската отстъпка, която получават. Това от своя страна позволява да се осигури достъп на всяко печатно издание до всеки регион в страната. Дори и </w:t>
      </w:r>
      <w:r>
        <w:rPr>
          <w:rFonts w:ascii="Times New Roman" w:hAnsi="Times New Roman"/>
          <w:sz w:val="26"/>
          <w:szCs w:val="26"/>
        </w:rPr>
        <w:t>дадена национална или регионална разпространителска фирма да реши да не разпространява определено издание, то неговият конкурент ще може да осигури разпространението му. Ако има случаи на ограничаване достъпа до пазара, то те са изолирани и не могат да дов</w:t>
      </w:r>
      <w:r>
        <w:rPr>
          <w:rFonts w:ascii="Times New Roman" w:hAnsi="Times New Roman"/>
          <w:sz w:val="26"/>
          <w:szCs w:val="26"/>
        </w:rPr>
        <w:t xml:space="preserve">едат до съществена промяна в тиражите или продаваемостта на дадено издание. Предвид силната конкуренция дружеството не счита, че е възможно да се стигне до съгласувана практика между отделни разпространители както на национално, така и на регионално ниво. </w:t>
      </w:r>
      <w:r>
        <w:rPr>
          <w:rFonts w:ascii="Times New Roman" w:hAnsi="Times New Roman"/>
          <w:sz w:val="26"/>
          <w:szCs w:val="26"/>
        </w:rPr>
        <w:t>Дружеството откроява следните проблеми: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Различните търговски отстъпки, които отделните издатели предоставят на разпространителските фирми. Към момента търговската отстъпка е средно около 35 %, като само изданията на в. 24 часа и в. Труд предоставят значи</w:t>
      </w:r>
      <w:r>
        <w:rPr>
          <w:rFonts w:ascii="Times New Roman" w:hAnsi="Times New Roman"/>
          <w:sz w:val="26"/>
          <w:szCs w:val="26"/>
        </w:rPr>
        <w:t>телно по-ниска ТО – 26 %. Това се дължи на съществуващата изключителна дистрибуция на тези издания от „Агенция Стрела“ ЕООД, което не позволява да се договорят условията на разпространение директно с  техните издатели;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Голяма междуфирмена задлъжнялост, л</w:t>
      </w:r>
      <w:r>
        <w:rPr>
          <w:rFonts w:ascii="Times New Roman" w:hAnsi="Times New Roman"/>
          <w:sz w:val="26"/>
          <w:szCs w:val="26"/>
        </w:rPr>
        <w:t>ипса на отчетност (фактическа и счетоводна); непредоставяне на точна и адекватна информация на издателите от страна на дистрибуторите за обема на продажбите и разпределението на тиражите по отделни обекти;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Липса на точна информация относно тиражите и про</w:t>
      </w:r>
      <w:r>
        <w:rPr>
          <w:rFonts w:ascii="Times New Roman" w:hAnsi="Times New Roman"/>
          <w:sz w:val="26"/>
          <w:szCs w:val="26"/>
        </w:rPr>
        <w:t>дажбите на вестници и списания, което не позволява на рекламодателите да направят точна преценка на възможностите си за реклама;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Ограничаване на доставките на вестници – като пример се посочва „Агенция Стрела“ ЕООД, което ограничава доставките на вестниц</w:t>
      </w:r>
      <w:r>
        <w:rPr>
          <w:rFonts w:ascii="Times New Roman" w:hAnsi="Times New Roman"/>
          <w:sz w:val="26"/>
          <w:szCs w:val="26"/>
        </w:rPr>
        <w:t>ите Телеграф и Монитор до веригите бензиностанции Лукойл и ОМВ и умишлено намалява предварително заявените тиражи за разпространение на същите вестници.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rPr>
        <w:t>(...)</w:t>
      </w:r>
      <w:r>
        <w:rPr>
          <w:rFonts w:ascii="Times New Roman" w:hAnsi="Times New Roman"/>
        </w:rPr>
        <w:sym w:font="Symbol" w:char="F02A"/>
      </w:r>
      <w:r>
        <w:rPr>
          <w:rFonts w:ascii="Times New Roman" w:hAnsi="Times New Roman"/>
          <w:sz w:val="26"/>
          <w:szCs w:val="26"/>
        </w:rPr>
        <w:t>, като част от НБМГХ, изтъква същите проблеми, като допълнително посочва като проблем и издаванет</w:t>
      </w:r>
      <w:r>
        <w:rPr>
          <w:rFonts w:ascii="Times New Roman" w:hAnsi="Times New Roman"/>
          <w:sz w:val="26"/>
          <w:szCs w:val="26"/>
        </w:rPr>
        <w:t>о на вестници на цени под себестойност и/или разпространяването безплатно на притурки и други стоки към вестниците, което характеризира като форма на нелоялна конкуренция.</w:t>
      </w:r>
    </w:p>
    <w:p w:rsidR="00000000" w:rsidRDefault="003E498D">
      <w:pPr>
        <w:pStyle w:val="NoSpacing"/>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rPr>
        <w:t xml:space="preserve"> </w:t>
      </w:r>
      <w:r>
        <w:rPr>
          <w:rFonts w:ascii="Times New Roman" w:hAnsi="Times New Roman"/>
          <w:sz w:val="26"/>
          <w:szCs w:val="26"/>
          <w:u w:val="single"/>
        </w:rPr>
        <w:t>ИК „Марица“ ООД</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Издателската къща посочва като проблем в сектора “изкуствено ниски</w:t>
      </w:r>
      <w:r>
        <w:rPr>
          <w:rFonts w:ascii="Times New Roman" w:hAnsi="Times New Roman"/>
          <w:sz w:val="26"/>
          <w:szCs w:val="26"/>
        </w:rPr>
        <w:t>те цени“ на някои вестници (в становището не се посочва конкретно за кои издатели става въпрос, нито са представени други доказателства) и предлага законови промени.</w:t>
      </w:r>
    </w:p>
    <w:p w:rsidR="00000000" w:rsidRDefault="003E498D">
      <w:pPr>
        <w:pStyle w:val="NoSpacing"/>
        <w:ind w:firstLine="708"/>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„Торнадо Медия” ООД</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rPr>
        <w:t>Като проблеми в сектора дружеството посочва невъзможността за втори</w:t>
      </w:r>
      <w:r>
        <w:rPr>
          <w:rFonts w:ascii="Times New Roman" w:hAnsi="Times New Roman"/>
          <w:sz w:val="26"/>
          <w:szCs w:val="26"/>
        </w:rPr>
        <w:t xml:space="preserve">чно зареждане на крайния дистрибутор на дребно.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Според предприятието съществува гласна практика за фаворизиране на определени издания от страна на някои дистрибутори, съобразени, по – скоро, с политическата ориентираност на изданието. Наблюдава се поняког</w:t>
      </w:r>
      <w:r>
        <w:rPr>
          <w:rFonts w:ascii="Times New Roman" w:hAnsi="Times New Roman"/>
          <w:sz w:val="26"/>
          <w:szCs w:val="26"/>
        </w:rPr>
        <w:t xml:space="preserve">а и </w:t>
      </w:r>
      <w:r>
        <w:rPr>
          <w:rFonts w:ascii="Times New Roman" w:hAnsi="Times New Roman"/>
          <w:sz w:val="26"/>
          <w:szCs w:val="26"/>
        </w:rPr>
        <w:lastRenderedPageBreak/>
        <w:t>ограничаване на достъпа до пазара на определени издания, които не са солидарни към една от двете основни медийно- дистрибуторски  групи.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Дружеството препоръчва нормативни изменения и по-строго прилагане на антимонополното законодателство. </w:t>
      </w:r>
    </w:p>
    <w:p w:rsidR="00000000" w:rsidRDefault="003E498D">
      <w:pPr>
        <w:pStyle w:val="NoSpacing"/>
        <w:contextualSpacing/>
        <w:jc w:val="both"/>
        <w:rPr>
          <w:rFonts w:ascii="Times New Roman" w:hAnsi="Times New Roman"/>
          <w:sz w:val="26"/>
          <w:szCs w:val="26"/>
          <w:u w:val="single"/>
          <w:lang w:val="en-US"/>
        </w:rPr>
      </w:pP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 xml:space="preserve"> „Сега” АД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Предприятието посочва, че към Съюза на издателите в България е учредена комисия по проблемите на разпространението, която е предложила становище за наличните структурни проблеми в сферата на разпространението и предложения за тяхното отстраняване. </w:t>
      </w:r>
    </w:p>
    <w:p w:rsidR="00000000" w:rsidRDefault="003E498D">
      <w:pPr>
        <w:pStyle w:val="NoSpacing"/>
        <w:ind w:firstLine="708"/>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„Нови</w:t>
      </w:r>
      <w:r>
        <w:rPr>
          <w:rFonts w:ascii="Times New Roman" w:hAnsi="Times New Roman"/>
          <w:sz w:val="26"/>
          <w:szCs w:val="26"/>
          <w:u w:val="single"/>
        </w:rPr>
        <w:t>нар Медиа“  АД</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Предприятието отчита като основен проблем на пазара намалелите приходи от реклама, причинени от икономическата криза, което води до междуфирмена задлъжнялост в сектора.</w:t>
      </w:r>
    </w:p>
    <w:p w:rsidR="00000000" w:rsidRDefault="003E498D">
      <w:pPr>
        <w:pStyle w:val="NoSpacing"/>
        <w:ind w:firstLine="708"/>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 xml:space="preserve">„Дума 2008“ ЕООД </w:t>
      </w:r>
    </w:p>
    <w:p w:rsidR="00000000" w:rsidRDefault="003E498D">
      <w:pPr>
        <w:pStyle w:val="NoSpacing"/>
        <w:ind w:firstLine="708"/>
        <w:contextualSpacing/>
        <w:jc w:val="both"/>
        <w:rPr>
          <w:rFonts w:ascii="Times New Roman" w:hAnsi="Times New Roman"/>
          <w:color w:val="000000"/>
          <w:sz w:val="26"/>
          <w:szCs w:val="26"/>
        </w:rPr>
      </w:pPr>
      <w:r>
        <w:rPr>
          <w:rFonts w:ascii="Times New Roman" w:hAnsi="Times New Roman"/>
          <w:sz w:val="26"/>
          <w:szCs w:val="26"/>
        </w:rPr>
        <w:t>Дружеството препоръчва въвеждане на законодателство з</w:t>
      </w:r>
      <w:r>
        <w:rPr>
          <w:rFonts w:ascii="Times New Roman" w:hAnsi="Times New Roman"/>
          <w:sz w:val="26"/>
          <w:szCs w:val="26"/>
        </w:rPr>
        <w:t xml:space="preserve">а печатните издания подобно на Гърция и Италия (не се представят конкретни норми). С  приемането на Закон за медиите и разпространение на печатните издания в страната би трябвало да се премахне </w:t>
      </w:r>
      <w:r>
        <w:rPr>
          <w:rFonts w:ascii="Times New Roman" w:hAnsi="Times New Roman"/>
          <w:color w:val="000000"/>
          <w:sz w:val="26"/>
          <w:szCs w:val="26"/>
        </w:rPr>
        <w:t>монополът в сектора и да бъдат равнопоставени на пазара разпро</w:t>
      </w:r>
      <w:r>
        <w:rPr>
          <w:rFonts w:ascii="Times New Roman" w:hAnsi="Times New Roman"/>
          <w:color w:val="000000"/>
          <w:sz w:val="26"/>
          <w:szCs w:val="26"/>
        </w:rPr>
        <w:t>странителските фирми. Това би довело до няколко съществени за издателите резултати: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color w:val="000000"/>
          <w:sz w:val="26"/>
          <w:szCs w:val="26"/>
        </w:rPr>
        <w:t>-</w:t>
      </w:r>
      <w:r>
        <w:rPr>
          <w:rFonts w:ascii="Times New Roman" w:hAnsi="Times New Roman"/>
          <w:color w:val="000000"/>
          <w:sz w:val="26"/>
          <w:szCs w:val="26"/>
        </w:rPr>
        <w:tab/>
      </w:r>
      <w:r>
        <w:rPr>
          <w:rFonts w:ascii="Times New Roman" w:hAnsi="Times New Roman"/>
          <w:color w:val="000000"/>
          <w:sz w:val="26"/>
          <w:szCs w:val="26"/>
        </w:rPr>
        <w:t>Увеличаване броя на крайните точки на продажба в малките населени места в страната.  Твърди се, че понастоящем монополистите</w:t>
      </w:r>
      <w:r>
        <w:rPr>
          <w:rFonts w:ascii="Times New Roman" w:hAnsi="Times New Roman"/>
          <w:sz w:val="26"/>
          <w:szCs w:val="26"/>
        </w:rPr>
        <w:t xml:space="preserve"> изкупуват крайните точки и закриват част от т</w:t>
      </w:r>
      <w:r>
        <w:rPr>
          <w:rFonts w:ascii="Times New Roman" w:hAnsi="Times New Roman"/>
          <w:sz w:val="26"/>
          <w:szCs w:val="26"/>
        </w:rPr>
        <w:t>ях с цел спестяване на разходи по транспорт и дистрибуция, което директно води до свиване на тиражите на някои печатни издания;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Получаване на по-точна информация от разпространителите колко бройки от изданието се продават във всеки регион и на всеки щанд</w:t>
      </w:r>
      <w:r>
        <w:rPr>
          <w:rFonts w:ascii="Times New Roman" w:hAnsi="Times New Roman"/>
          <w:sz w:val="26"/>
          <w:szCs w:val="26"/>
        </w:rPr>
        <w:t>, което ще даде възможност да се правят корекции в количествата вестници, които се пращат (напр. където има висок брак да се намалят бройките и да се пренасочват към места с добра продаваемост);</w:t>
      </w:r>
    </w:p>
    <w:p w:rsidR="00000000" w:rsidRDefault="003E498D">
      <w:pPr>
        <w:pStyle w:val="NoSpacing"/>
        <w:ind w:firstLine="708"/>
        <w:contextualSpacing/>
        <w:jc w:val="both"/>
        <w:rPr>
          <w:rFonts w:ascii="Times New Roman" w:hAnsi="Times New Roman"/>
          <w:color w:val="000000"/>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Прекратяване на практиката някои от продавачите на вестници</w:t>
      </w:r>
      <w:r>
        <w:rPr>
          <w:rFonts w:ascii="Times New Roman" w:hAnsi="Times New Roman"/>
          <w:sz w:val="26"/>
          <w:szCs w:val="26"/>
        </w:rPr>
        <w:t xml:space="preserve"> да бъдат задължавани от големите разпространителски фирми да заплащат вестниците, които </w:t>
      </w:r>
      <w:r>
        <w:rPr>
          <w:rFonts w:ascii="Times New Roman" w:hAnsi="Times New Roman"/>
          <w:color w:val="000000"/>
          <w:sz w:val="26"/>
          <w:szCs w:val="26"/>
        </w:rPr>
        <w:t>получават за продажба, вместо да ги вземат на консигнация;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color w:val="000000"/>
          <w:sz w:val="26"/>
          <w:szCs w:val="26"/>
        </w:rPr>
        <w:t xml:space="preserve">В заключение се посочва, че коректното разпространение на печатните издания има директно значение за тиража </w:t>
      </w:r>
      <w:r>
        <w:rPr>
          <w:rFonts w:ascii="Times New Roman" w:hAnsi="Times New Roman"/>
          <w:color w:val="000000"/>
          <w:sz w:val="26"/>
          <w:szCs w:val="26"/>
        </w:rPr>
        <w:t>на всяко от тях, както и за влиянието на съответното издание върху читателската аудитория</w:t>
      </w:r>
      <w:r>
        <w:rPr>
          <w:rFonts w:ascii="Times New Roman" w:hAnsi="Times New Roman"/>
          <w:sz w:val="26"/>
          <w:szCs w:val="26"/>
        </w:rPr>
        <w:t xml:space="preserve">, което не се измерва само с тиража, но и с картата на разпространение по региони.   </w:t>
      </w:r>
    </w:p>
    <w:p w:rsidR="00000000" w:rsidRDefault="003E498D">
      <w:pPr>
        <w:pStyle w:val="NoSpacing"/>
        <w:ind w:firstLine="708"/>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 xml:space="preserve">„Икономедиа“ АД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color w:val="000000"/>
          <w:sz w:val="26"/>
          <w:szCs w:val="26"/>
        </w:rPr>
        <w:t>Предприятието посочва като проблем спада на рекламните приходи,</w:t>
      </w:r>
      <w:r>
        <w:rPr>
          <w:rFonts w:ascii="Times New Roman" w:hAnsi="Times New Roman"/>
          <w:color w:val="000000"/>
          <w:sz w:val="26"/>
          <w:szCs w:val="26"/>
        </w:rPr>
        <w:t xml:space="preserve"> както и намаляващото търсене и липсата</w:t>
      </w:r>
      <w:r>
        <w:rPr>
          <w:rFonts w:ascii="Times New Roman" w:hAnsi="Times New Roman"/>
          <w:sz w:val="26"/>
          <w:szCs w:val="26"/>
        </w:rPr>
        <w:t xml:space="preserve"> на финансиране. Твърди се, че навлизането на пазара е  трудно, тъй като част от участниците на пазара не печелят от </w:t>
      </w:r>
      <w:r>
        <w:rPr>
          <w:rFonts w:ascii="Times New Roman" w:hAnsi="Times New Roman"/>
          <w:sz w:val="26"/>
          <w:szCs w:val="26"/>
        </w:rPr>
        <w:lastRenderedPageBreak/>
        <w:t>основния бизнес на разпространението на печатни издания, което по своето същество нарушава конкуренц</w:t>
      </w:r>
      <w:r>
        <w:rPr>
          <w:rFonts w:ascii="Times New Roman" w:hAnsi="Times New Roman"/>
          <w:sz w:val="26"/>
          <w:szCs w:val="26"/>
        </w:rPr>
        <w:t xml:space="preserve">ията.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Препоръчва да се прилагат стриктно и ефективно разпоредбите на ЗЗК.</w:t>
      </w:r>
    </w:p>
    <w:p w:rsidR="00000000" w:rsidRDefault="003E498D">
      <w:pPr>
        <w:pStyle w:val="NoSpacing"/>
        <w:ind w:firstLine="708"/>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u w:val="single"/>
        </w:rPr>
        <w:t xml:space="preserve">„Медийна група България-Холдинг“ ООД </w:t>
      </w:r>
      <w:r>
        <w:rPr>
          <w:rFonts w:ascii="Times New Roman" w:hAnsi="Times New Roman"/>
          <w:sz w:val="26"/>
          <w:szCs w:val="26"/>
        </w:rPr>
        <w:t>откроява следните проблеми в сектора: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 xml:space="preserve">Липса на отчетност – вестниците и списанията са единствената стока, която е освободена от задължението </w:t>
      </w:r>
      <w:r>
        <w:rPr>
          <w:rFonts w:ascii="Times New Roman" w:hAnsi="Times New Roman"/>
          <w:sz w:val="26"/>
          <w:szCs w:val="26"/>
        </w:rPr>
        <w:t>да бъде продавана на крайния потребител чрез фискално устройство (касов апарат);</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 xml:space="preserve">Голяма междуфирмена задлъжнялост – това може да доведе до упражняване на влияние върху издателите от страна на дистрибуторите (на едро и на дребно) и обратно, на издателите </w:t>
      </w:r>
      <w:r>
        <w:rPr>
          <w:rFonts w:ascii="Times New Roman" w:hAnsi="Times New Roman"/>
          <w:sz w:val="26"/>
          <w:szCs w:val="26"/>
        </w:rPr>
        <w:t>върху дистрибуторите, чрез пряко определяне на търговски условия, разпределяне на пазари и ограничаване на търговията. Като конкретен проблем на пазара, предприятието посочва отказа на „Национална агенция разпространение“ ЕАД да сключи договор за дистрибуц</w:t>
      </w:r>
      <w:r>
        <w:rPr>
          <w:rFonts w:ascii="Times New Roman" w:hAnsi="Times New Roman"/>
          <w:sz w:val="26"/>
          <w:szCs w:val="26"/>
        </w:rPr>
        <w:t>ия с „Агенция Стрела“ ЕООД, като доставките се извършват на база заявка ден за ден. Несъответствието между заявения и получения тираж на печатните издания ограничава възможността на „Агенция Стрела“ ЕООД да удовлетвори заявките на своите клиенти. Също така</w:t>
      </w:r>
      <w:r>
        <w:rPr>
          <w:rFonts w:ascii="Times New Roman" w:hAnsi="Times New Roman"/>
          <w:sz w:val="26"/>
          <w:szCs w:val="26"/>
        </w:rPr>
        <w:t xml:space="preserve"> се твърди, че дружеството не може да получи недостигащите количества от другите дистрибутори, имащи договори с НАР ЕАД, защото среща мълчалив отказ.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Предлагат се следните мерки за отстраняване на проблемите: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А) въвеждане на задължение за всички издатели</w:t>
      </w:r>
      <w:r>
        <w:rPr>
          <w:rFonts w:ascii="Times New Roman" w:hAnsi="Times New Roman"/>
          <w:sz w:val="26"/>
          <w:szCs w:val="26"/>
        </w:rPr>
        <w:t xml:space="preserve"> на периодични печатни издания да приемат и публикуват Общи търговски условия за доставка и продажба на своите произведения при равноправни за всички разпространители условия;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Б) въвеждане на задължение за всички фирми с предмет на дейност „разпространение</w:t>
      </w:r>
      <w:r>
        <w:rPr>
          <w:rFonts w:ascii="Times New Roman" w:hAnsi="Times New Roman"/>
          <w:sz w:val="26"/>
          <w:szCs w:val="26"/>
        </w:rPr>
        <w:t xml:space="preserve"> на периодични печатни издания“ да приемат и публикуват Общи търговски условия за доставка и продажба на печатни произведения при равноправни  спрямо различните категории търговци (дистрибутори на дребно) условия;</w:t>
      </w:r>
    </w:p>
    <w:p w:rsidR="00000000" w:rsidRDefault="003E498D">
      <w:pPr>
        <w:pStyle w:val="NoSpacing"/>
        <w:ind w:firstLine="708"/>
        <w:contextualSpacing/>
        <w:jc w:val="both"/>
        <w:rPr>
          <w:rFonts w:ascii="Times New Roman" w:hAnsi="Times New Roman"/>
          <w:color w:val="4F81BD"/>
          <w:sz w:val="26"/>
          <w:szCs w:val="26"/>
        </w:rPr>
      </w:pPr>
      <w:r>
        <w:rPr>
          <w:rFonts w:ascii="Times New Roman" w:hAnsi="Times New Roman"/>
          <w:sz w:val="26"/>
          <w:szCs w:val="26"/>
        </w:rPr>
        <w:t xml:space="preserve">В) препоръка до министъра на финансите за </w:t>
      </w:r>
      <w:r>
        <w:rPr>
          <w:rFonts w:ascii="Times New Roman" w:hAnsi="Times New Roman"/>
          <w:sz w:val="26"/>
          <w:szCs w:val="26"/>
        </w:rPr>
        <w:t>отмяна на чл.4, т.1 на Наредба № Н-18/2006 г.</w:t>
      </w:r>
      <w:r>
        <w:rPr>
          <w:rFonts w:ascii="Times New Roman" w:hAnsi="Times New Roman"/>
          <w:bCs/>
          <w:color w:val="000000"/>
          <w:sz w:val="26"/>
          <w:szCs w:val="26"/>
        </w:rPr>
        <w:t xml:space="preserve"> за регистриране и отчитане на продажби в търговските обекти чрез фискални устройства</w:t>
      </w:r>
      <w:r>
        <w:rPr>
          <w:rFonts w:ascii="Times New Roman" w:hAnsi="Times New Roman"/>
          <w:bCs/>
          <w:color w:val="000000"/>
          <w:sz w:val="26"/>
          <w:szCs w:val="26"/>
          <w:vertAlign w:val="superscript"/>
        </w:rPr>
        <w:footnoteReference w:id="31"/>
      </w:r>
      <w:r>
        <w:rPr>
          <w:rFonts w:ascii="Times New Roman" w:hAnsi="Times New Roman"/>
          <w:sz w:val="26"/>
          <w:szCs w:val="26"/>
        </w:rPr>
        <w:t>;</w:t>
      </w:r>
      <w:r>
        <w:rPr>
          <w:rFonts w:ascii="Times New Roman" w:hAnsi="Times New Roman"/>
          <w:color w:val="4F81BD"/>
          <w:sz w:val="26"/>
          <w:szCs w:val="26"/>
        </w:rPr>
        <w:t xml:space="preserve">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Г) допускане на браншови споразумения между Съюза на издателите в България и сдружения на разпространители на печатни про</w:t>
      </w:r>
      <w:r>
        <w:rPr>
          <w:rFonts w:ascii="Times New Roman" w:hAnsi="Times New Roman"/>
          <w:sz w:val="26"/>
          <w:szCs w:val="26"/>
        </w:rPr>
        <w:t>изведения за режим за доставка на вестници и определяне на размера на ТО;</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 приемане на мерки, вкл. подходящи законови разпоредби, които да гарантират, че на всяко място за продажба на печатни произведения ще се доставят и предлагат всички печатни издания</w:t>
      </w:r>
      <w:r>
        <w:rPr>
          <w:rFonts w:ascii="Times New Roman" w:hAnsi="Times New Roman"/>
          <w:sz w:val="26"/>
          <w:szCs w:val="26"/>
        </w:rPr>
        <w:t>, когато издателите са готови да поемат обичайните разноски по доставката, съгласно публичните Общи условия на дистрибуторите;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lastRenderedPageBreak/>
        <w:t>Е) приемане на мерки чрез подходящи законови разпоредби, задължаващи органите на местното самоуправление и местна администрация д</w:t>
      </w:r>
      <w:r>
        <w:rPr>
          <w:rFonts w:ascii="Times New Roman" w:hAnsi="Times New Roman"/>
          <w:sz w:val="26"/>
          <w:szCs w:val="26"/>
        </w:rPr>
        <w:t>а държат сметка за специалното положение на стоката печат при определяне на градоустройствената политика, вкл. и чрез определяне на разходоориентирани норми на наемите;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Ж) препоръка на местните власти решително да използват методите на концесионирането на </w:t>
      </w:r>
      <w:r>
        <w:rPr>
          <w:rFonts w:ascii="Times New Roman" w:hAnsi="Times New Roman"/>
          <w:sz w:val="26"/>
          <w:szCs w:val="26"/>
        </w:rPr>
        <w:t xml:space="preserve">тази дейност, при условие, че надзор върху бъдещите концесионери ще бъде упражняван от независима спрямо концесионера браншова издателска организация. </w:t>
      </w:r>
    </w:p>
    <w:p w:rsidR="00000000" w:rsidRDefault="003E498D">
      <w:pPr>
        <w:pStyle w:val="NoSpacing"/>
        <w:contextualSpacing/>
        <w:jc w:val="both"/>
        <w:rPr>
          <w:rFonts w:ascii="Times New Roman" w:hAnsi="Times New Roman"/>
          <w:sz w:val="26"/>
          <w:szCs w:val="26"/>
        </w:rPr>
      </w:pPr>
      <w:r>
        <w:rPr>
          <w:rFonts w:ascii="Times New Roman" w:hAnsi="Times New Roman"/>
          <w:sz w:val="26"/>
          <w:szCs w:val="26"/>
        </w:rPr>
        <w:t>Част от мерките са посочени и от Съюза на издателите в България (А; Б; Г и Д)</w:t>
      </w:r>
    </w:p>
    <w:p w:rsidR="00000000" w:rsidRDefault="003E498D">
      <w:pPr>
        <w:pStyle w:val="NoSpacing"/>
        <w:contextualSpacing/>
        <w:jc w:val="both"/>
        <w:rPr>
          <w:rFonts w:ascii="Times New Roman" w:hAnsi="Times New Roman"/>
          <w:sz w:val="26"/>
          <w:szCs w:val="26"/>
        </w:rPr>
      </w:pPr>
    </w:p>
    <w:p w:rsidR="00000000" w:rsidRDefault="003E498D">
      <w:pPr>
        <w:pStyle w:val="NoSpacing"/>
        <w:contextualSpacing/>
        <w:jc w:val="both"/>
        <w:rPr>
          <w:rFonts w:ascii="Times New Roman" w:hAnsi="Times New Roman"/>
          <w:b/>
          <w:sz w:val="26"/>
          <w:szCs w:val="26"/>
          <w:lang w:val="en-US"/>
        </w:rPr>
      </w:pPr>
      <w:r>
        <w:rPr>
          <w:rFonts w:ascii="Times New Roman" w:hAnsi="Times New Roman"/>
          <w:b/>
          <w:sz w:val="26"/>
          <w:szCs w:val="26"/>
        </w:rPr>
        <w:t>5.2 Разпространители</w:t>
      </w: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rPr>
        <w:t>„</w:t>
      </w:r>
      <w:r>
        <w:rPr>
          <w:rFonts w:ascii="Times New Roman" w:hAnsi="Times New Roman"/>
          <w:sz w:val="26"/>
          <w:szCs w:val="26"/>
          <w:u w:val="single"/>
        </w:rPr>
        <w:t>Доб</w:t>
      </w:r>
      <w:r>
        <w:rPr>
          <w:rFonts w:ascii="Times New Roman" w:hAnsi="Times New Roman"/>
          <w:sz w:val="26"/>
          <w:szCs w:val="26"/>
          <w:u w:val="single"/>
        </w:rPr>
        <w:t>и Прес“ ЕООД</w:t>
      </w:r>
    </w:p>
    <w:p w:rsidR="00000000" w:rsidRDefault="003E498D">
      <w:pPr>
        <w:pStyle w:val="NoSpacing"/>
        <w:ind w:firstLine="708"/>
        <w:contextualSpacing/>
        <w:jc w:val="both"/>
        <w:rPr>
          <w:rFonts w:ascii="Times New Roman" w:hAnsi="Times New Roman"/>
          <w:sz w:val="26"/>
          <w:szCs w:val="26"/>
          <w:lang w:val="en-US"/>
        </w:rPr>
      </w:pPr>
      <w:r>
        <w:rPr>
          <w:rFonts w:ascii="Times New Roman" w:hAnsi="Times New Roman"/>
          <w:sz w:val="26"/>
          <w:szCs w:val="26"/>
        </w:rPr>
        <w:t>Като основен проблем на пазара предприятието счита агресивното ценово поведение на някои участници на пазара, както и прилагането на търговски отстъпки и продажби под себестойност. Не са посочени конкретно кои предприятия прилагат такава полит</w:t>
      </w:r>
      <w:r>
        <w:rPr>
          <w:rFonts w:ascii="Times New Roman" w:hAnsi="Times New Roman"/>
          <w:sz w:val="26"/>
          <w:szCs w:val="26"/>
        </w:rPr>
        <w:t xml:space="preserve">ика, нито са представени доказателства в тази насока. Според дружеството трябва да има забрана за вертикална интегрираност между издател и разпространител. Друг проблем </w:t>
      </w:r>
      <w:r>
        <w:rPr>
          <w:rFonts w:ascii="Times New Roman" w:hAnsi="Times New Roman"/>
        </w:rPr>
        <w:t>(...)</w:t>
      </w:r>
      <w:r>
        <w:rPr>
          <w:rFonts w:ascii="Times New Roman" w:hAnsi="Times New Roman"/>
        </w:rPr>
        <w:sym w:font="Symbol" w:char="F02A"/>
      </w:r>
      <w:r>
        <w:rPr>
          <w:rFonts w:ascii="Times New Roman" w:hAnsi="Times New Roman"/>
          <w:sz w:val="26"/>
          <w:szCs w:val="26"/>
        </w:rPr>
        <w:t xml:space="preserve">. </w:t>
      </w:r>
    </w:p>
    <w:p w:rsidR="00000000" w:rsidRDefault="003E498D">
      <w:pPr>
        <w:pStyle w:val="NoSpacing"/>
        <w:ind w:firstLine="708"/>
        <w:contextualSpacing/>
        <w:jc w:val="both"/>
        <w:rPr>
          <w:rFonts w:ascii="Times New Roman" w:hAnsi="Times New Roman"/>
          <w:sz w:val="26"/>
          <w:szCs w:val="26"/>
          <w:u w:val="single"/>
        </w:rPr>
      </w:pPr>
      <w:r>
        <w:rPr>
          <w:rFonts w:ascii="Times New Roman" w:hAnsi="Times New Roman"/>
          <w:sz w:val="26"/>
          <w:szCs w:val="26"/>
        </w:rPr>
        <w:t>„</w:t>
      </w:r>
      <w:r>
        <w:rPr>
          <w:rFonts w:ascii="Times New Roman" w:hAnsi="Times New Roman"/>
          <w:sz w:val="26"/>
          <w:szCs w:val="26"/>
          <w:u w:val="single"/>
        </w:rPr>
        <w:t>Медика Прес“ ЕООД</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Проблемите, които откроява, са: ниските цени на изданията; </w:t>
      </w:r>
      <w:r>
        <w:rPr>
          <w:rFonts w:ascii="Times New Roman" w:hAnsi="Times New Roman"/>
          <w:sz w:val="26"/>
          <w:szCs w:val="26"/>
        </w:rPr>
        <w:t>фаворизиране на дадени издания и различен подход при определяне на отстъпките;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Като основен проблем на пазара предприятието посочва навлизането на големи издателски групи на всички нива на пазара. Издателите предоставят отстъпки на определени дистрибутори </w:t>
      </w:r>
      <w:r>
        <w:rPr>
          <w:rFonts w:ascii="Times New Roman" w:hAnsi="Times New Roman"/>
          <w:sz w:val="26"/>
          <w:szCs w:val="26"/>
        </w:rPr>
        <w:t>на регионално ниво, което води до ценови натиск върху конкурентите на пазара. Друга практика е даване на определен дистрибутор на изключителни права за национално разпространение, което намалява пазарния дял на конкурентите.</w:t>
      </w:r>
    </w:p>
    <w:p w:rsidR="00000000" w:rsidRDefault="003E498D">
      <w:pPr>
        <w:pStyle w:val="NoSpacing"/>
        <w:ind w:firstLine="708"/>
        <w:contextualSpacing/>
        <w:jc w:val="both"/>
        <w:rPr>
          <w:rFonts w:ascii="Times New Roman" w:hAnsi="Times New Roman"/>
          <w:color w:val="FF0000"/>
          <w:sz w:val="26"/>
          <w:szCs w:val="26"/>
        </w:rPr>
      </w:pPr>
      <w:r>
        <w:rPr>
          <w:rFonts w:ascii="Times New Roman" w:hAnsi="Times New Roman"/>
          <w:sz w:val="26"/>
          <w:szCs w:val="26"/>
        </w:rPr>
        <w:t xml:space="preserve">Предприятието препоръчва </w:t>
      </w:r>
      <w:r>
        <w:rPr>
          <w:rFonts w:ascii="Times New Roman" w:hAnsi="Times New Roman"/>
        </w:rPr>
        <w:t>(...)</w:t>
      </w:r>
      <w:r>
        <w:rPr>
          <w:rFonts w:ascii="Times New Roman" w:hAnsi="Times New Roman"/>
        </w:rPr>
        <w:sym w:font="Symbol" w:char="F02A"/>
      </w:r>
      <w:r>
        <w:rPr>
          <w:rFonts w:ascii="Times New Roman" w:hAnsi="Times New Roman"/>
          <w:color w:val="FF0000"/>
          <w:sz w:val="26"/>
          <w:szCs w:val="26"/>
        </w:rPr>
        <w:t xml:space="preserve">. </w:t>
      </w: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„Разпространение на печата“ АД</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Според дружеството вертикалната интегрираност между издател и разпространител затруднява разпространението на вестници и списания от равностойни и ефективни конкуренти и води до увеличав,ане на пределните средни разходи за</w:t>
      </w:r>
      <w:r>
        <w:rPr>
          <w:rFonts w:ascii="Times New Roman" w:hAnsi="Times New Roman"/>
          <w:sz w:val="26"/>
          <w:szCs w:val="26"/>
        </w:rPr>
        <w:t xml:space="preserve"> тези конкуренти. Като конкретен пример се посочва снабдяване с в. „Труд“ и „24 часа“, които могат да се закупят от „Агенция Стрела“ ЕООД, а не от издателя, при намален марж на отстъпка, което създава бариери за навлизане на пазара за конкурентни предприят</w:t>
      </w:r>
      <w:r>
        <w:rPr>
          <w:rFonts w:ascii="Times New Roman" w:hAnsi="Times New Roman"/>
          <w:sz w:val="26"/>
          <w:szCs w:val="26"/>
        </w:rPr>
        <w:t>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Предприятието препоръчва регулация на вертикалната интегрираност между издател и разпространител.</w:t>
      </w: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„Полиграфснаб“ АД</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Твърди се, че съществуват практики, в които определени дистрибутори на дребно се задължават да закупуват всички печатни издания, излизащ</w:t>
      </w:r>
      <w:r>
        <w:rPr>
          <w:rFonts w:ascii="Times New Roman" w:hAnsi="Times New Roman"/>
          <w:sz w:val="26"/>
          <w:szCs w:val="26"/>
        </w:rPr>
        <w:t>и на пазара, от един определен доставчик, или има дистрибутори с изключителни права за разпространение на определени издания или група от такива за определен регион /населено място/ или на определени групи клиенти.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lastRenderedPageBreak/>
        <w:t>Наблюдава се и обратното явление, при кое</w:t>
      </w:r>
      <w:r>
        <w:rPr>
          <w:rFonts w:ascii="Times New Roman" w:hAnsi="Times New Roman"/>
          <w:sz w:val="26"/>
          <w:szCs w:val="26"/>
        </w:rPr>
        <w:t xml:space="preserve">то дистрибутор на едро /но не от „първо ниво“/ отказва да разпространява определени издания или група от такива за определени райони, където той извършва дейността си, с цел принуда на издателя и/или негов основен разпространител да промени в негова полза </w:t>
      </w:r>
      <w:r>
        <w:rPr>
          <w:rFonts w:ascii="Times New Roman" w:hAnsi="Times New Roman"/>
          <w:sz w:val="26"/>
          <w:szCs w:val="26"/>
        </w:rPr>
        <w:t>търговските му условия или да придобие ексклузивни права за определени издания или клиенти.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Други ограничителни практики са свързани преди всичко със съгласувани действия на определен кръг взаимосвързани фирми, най-вече в опит за налагане на търговски усло</w:t>
      </w:r>
      <w:r>
        <w:rPr>
          <w:rFonts w:ascii="Times New Roman" w:hAnsi="Times New Roman"/>
          <w:sz w:val="26"/>
          <w:szCs w:val="26"/>
        </w:rPr>
        <w:t>вия - на кого, какво и в какви количества да се продава и на кого не. Тези практики са трудно доказуеми поради липсата на търговско-правни документи за подобен род споразумения, а тяхното осъществяване става по линия на неформалното и най-често финансово о</w:t>
      </w:r>
      <w:r>
        <w:rPr>
          <w:rFonts w:ascii="Times New Roman" w:hAnsi="Times New Roman"/>
          <w:sz w:val="26"/>
          <w:szCs w:val="26"/>
        </w:rPr>
        <w:t>бвързващо съглашателство. По този начин поради голяма концентрация на определени издания или група от такива в разпространителски фирми като техни основни дистрибутори е заложена опасност от контролирано и икономически необосновано, отколкото ефективно пре</w:t>
      </w:r>
      <w:r>
        <w:rPr>
          <w:rFonts w:ascii="Times New Roman" w:hAnsi="Times New Roman"/>
          <w:sz w:val="26"/>
          <w:szCs w:val="26"/>
        </w:rPr>
        <w:t xml:space="preserve">длагане на други външни издания, като по този начин се създава изкуствен дефицит или пренасищане на едни или други заглавия, преди всичко от ежедневен и „жълт“ характер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Като най-голям проблем в сектора се посочва реално съществуващият „черен“ пазар и укри</w:t>
      </w:r>
      <w:r>
        <w:rPr>
          <w:rFonts w:ascii="Times New Roman" w:hAnsi="Times New Roman"/>
          <w:sz w:val="26"/>
          <w:szCs w:val="26"/>
        </w:rPr>
        <w:t>ването на приходи от продажбата на печатни издания. Търговците от средните нива и най-вече тези, търгуващи „на дребно“ в крайните пунктове за продажба, масово не декларират и не отчитат своите обороти в техния реален и пълен размер. Това налага спешно въве</w:t>
      </w:r>
      <w:r>
        <w:rPr>
          <w:rFonts w:ascii="Times New Roman" w:hAnsi="Times New Roman"/>
          <w:sz w:val="26"/>
          <w:szCs w:val="26"/>
        </w:rPr>
        <w:t>ждане на законово изискване за употребата на касови апарати и регистрацията на всяка една продажба на дребно през тях, както изисква законът за всеки друг вид търговия с „кешови“ плащания. Съществуващата финансово-счетоводна безотчетност в момента дава въз</w:t>
      </w:r>
      <w:r>
        <w:rPr>
          <w:rFonts w:ascii="Times New Roman" w:hAnsi="Times New Roman"/>
          <w:sz w:val="26"/>
          <w:szCs w:val="26"/>
        </w:rPr>
        <w:t>можност на некоректните търговци да отклоняват средства от дейността си, ощетявайки по този начин издатели и/или основни дистрибутори, своите лоялни конкуренти и най-вече държавния фиск, невнасяйки дължимото ДДС и съответните реални /действителни/ корпорат</w:t>
      </w:r>
      <w:r>
        <w:rPr>
          <w:rFonts w:ascii="Times New Roman" w:hAnsi="Times New Roman"/>
          <w:sz w:val="26"/>
          <w:szCs w:val="26"/>
        </w:rPr>
        <w:t>ивни данъци.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Задължителното издаване на касови бонове за всяка реализирана продажба ще ограничи ползването на павилиони и места за продажба, като по естествен начин ще отпаднат икономически неефективните обекти, но и ще оптимизира работата на „светло“ в ди</w:t>
      </w:r>
      <w:r>
        <w:rPr>
          <w:rFonts w:ascii="Times New Roman" w:hAnsi="Times New Roman"/>
          <w:sz w:val="26"/>
          <w:szCs w:val="26"/>
        </w:rPr>
        <w:t>стрибуторските мрежи и участниците в тях и не на последно място ще повиши събираемостта на приходите и данъците в сектора, което ще допринесе за цялостното му оздравяване.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Във връзка с откроените проблеми в сектора дружеството предлага с цел подобряване еф</w:t>
      </w:r>
      <w:r>
        <w:rPr>
          <w:rFonts w:ascii="Times New Roman" w:hAnsi="Times New Roman"/>
          <w:sz w:val="26"/>
          <w:szCs w:val="26"/>
        </w:rPr>
        <w:t>ективността на работа да се изработи специализирана нормативна база, указваща ясно правилата за извършване на издателска и разпространителска дейност след сериозен експертен анализ и обществен дебат по темата. Особено внимание следва да се обърне на прозра</w:t>
      </w:r>
      <w:r>
        <w:rPr>
          <w:rFonts w:ascii="Times New Roman" w:hAnsi="Times New Roman"/>
          <w:sz w:val="26"/>
          <w:szCs w:val="26"/>
        </w:rPr>
        <w:t>чността и законовите норми във финансово-счетоводната отчетност на дейността в сектора, като се вземат предвид добре структурираните в това отношение някои западно-европейски практики, където отдавна са уредени отношенията между печатниците, издателите, ра</w:t>
      </w:r>
      <w:r>
        <w:rPr>
          <w:rFonts w:ascii="Times New Roman" w:hAnsi="Times New Roman"/>
          <w:sz w:val="26"/>
          <w:szCs w:val="26"/>
        </w:rPr>
        <w:t>зпространителите и всички търговци на дребно, като главните насоки са: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lastRenderedPageBreak/>
        <w:t>−</w:t>
      </w:r>
      <w:r>
        <w:rPr>
          <w:rFonts w:ascii="Times New Roman" w:hAnsi="Times New Roman"/>
          <w:sz w:val="26"/>
          <w:szCs w:val="26"/>
        </w:rPr>
        <w:t xml:space="preserve"> разграничаване на всички дейности в логистичната верига, с оглед избягването на образуване на издателско-разпространителски картели, притежаващи собствени печатници или цели полиграфи</w:t>
      </w:r>
      <w:r>
        <w:rPr>
          <w:rFonts w:ascii="Times New Roman" w:hAnsi="Times New Roman"/>
          <w:sz w:val="26"/>
          <w:szCs w:val="26"/>
        </w:rPr>
        <w:t>чески комплекси;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 xml:space="preserve"> законово уреждане начина на финансово-счетоводно отчитане на реализацията на тиражите;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 xml:space="preserve"> спешно предприемане на законодателни мерки за намаляване на междуфирмената задлъжнялост в сектора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КЗК с последващо писмо изиска от дружеството да пр</w:t>
      </w:r>
      <w:r>
        <w:rPr>
          <w:rFonts w:ascii="Times New Roman" w:hAnsi="Times New Roman"/>
          <w:sz w:val="26"/>
          <w:szCs w:val="26"/>
        </w:rPr>
        <w:t xml:space="preserve">едстави конкретни примери и доказателства за наличието на посочените нелоялни и ограничителни практики в сектора. В писмо до Комисията, Полиграфснаб АД пояснява, че тези практики са трудно доказуеми, поради липсата на търговско-правни документи за подобен </w:t>
      </w:r>
      <w:r>
        <w:rPr>
          <w:rFonts w:ascii="Times New Roman" w:hAnsi="Times New Roman"/>
          <w:sz w:val="26"/>
          <w:szCs w:val="26"/>
        </w:rPr>
        <w:t>род споразумения или наличието на формално основание за тях.</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Въпреки това обаче съществува реална възможност те да бъдат значително ограничени по линия на икономическата принуда за „прозрачност“ и реална отчетност на приходите от продажбите, чрез въвеждане</w:t>
      </w:r>
      <w:r>
        <w:rPr>
          <w:rFonts w:ascii="Times New Roman" w:hAnsi="Times New Roman"/>
          <w:sz w:val="26"/>
          <w:szCs w:val="26"/>
        </w:rPr>
        <w:t xml:space="preserve"> на задължението за наличие на фискални касови апарати във всички търговски обекти за крайни продажби на печатни издания и издаването на фискални бонове за всяка „кешова“ продажба, независимо от размера й.  </w:t>
      </w:r>
    </w:p>
    <w:p w:rsidR="00000000" w:rsidRDefault="003E498D">
      <w:pPr>
        <w:pStyle w:val="NoSpacing"/>
        <w:contextualSpacing/>
        <w:jc w:val="both"/>
        <w:rPr>
          <w:rFonts w:ascii="Times New Roman" w:hAnsi="Times New Roman"/>
          <w:sz w:val="26"/>
          <w:szCs w:val="26"/>
          <w:u w:val="single"/>
        </w:rPr>
      </w:pPr>
      <w:r>
        <w:rPr>
          <w:rFonts w:ascii="Times New Roman" w:hAnsi="Times New Roman"/>
          <w:sz w:val="26"/>
          <w:szCs w:val="26"/>
          <w:u w:val="single"/>
        </w:rPr>
        <w:t xml:space="preserve">„Оларт“ ЕООД и „Сенатор“ ООД </w:t>
      </w:r>
      <w:r>
        <w:rPr>
          <w:rFonts w:ascii="Times New Roman" w:hAnsi="Times New Roman"/>
          <w:sz w:val="26"/>
          <w:szCs w:val="26"/>
        </w:rPr>
        <w:t>посочват следните п</w:t>
      </w:r>
      <w:r>
        <w:rPr>
          <w:rFonts w:ascii="Times New Roman" w:hAnsi="Times New Roman"/>
          <w:sz w:val="26"/>
          <w:szCs w:val="26"/>
        </w:rPr>
        <w:t>роблеми</w:t>
      </w:r>
      <w:r>
        <w:rPr>
          <w:rFonts w:ascii="Times New Roman" w:hAnsi="Times New Roman"/>
          <w:sz w:val="26"/>
          <w:szCs w:val="26"/>
          <w:u w:val="single"/>
        </w:rPr>
        <w:t>:</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Издателите без ясни критерии (обем, географско представителство, разходи по дейността и др.) сключват договори, в които основните параметри – цена и срокове за плащане, са различни за различните търговци;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Pr>
          <w:rFonts w:ascii="Times New Roman" w:hAnsi="Times New Roman"/>
          <w:sz w:val="26"/>
          <w:szCs w:val="26"/>
        </w:rPr>
        <w:t>Търговските условия на определени изда</w:t>
      </w:r>
      <w:r>
        <w:rPr>
          <w:rFonts w:ascii="Times New Roman" w:hAnsi="Times New Roman"/>
          <w:sz w:val="26"/>
          <w:szCs w:val="26"/>
        </w:rPr>
        <w:t>тели са видимо различни от всички останали в резултат на господстващо положение на група или на едно издание. В най-чист вид това се наблюдава при МГБХ</w:t>
      </w:r>
    </w:p>
    <w:p w:rsidR="00000000" w:rsidRDefault="003E498D">
      <w:pPr>
        <w:pStyle w:val="NoSpacing"/>
        <w:ind w:firstLine="708"/>
        <w:contextualSpacing/>
        <w:jc w:val="both"/>
        <w:rPr>
          <w:rFonts w:ascii="Times New Roman" w:hAnsi="Times New Roman"/>
          <w:sz w:val="26"/>
          <w:szCs w:val="26"/>
        </w:rPr>
      </w:pP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Въз основа на получените становища от анкетираните участници</w:t>
      </w:r>
      <w:r>
        <w:rPr>
          <w:rFonts w:ascii="Times New Roman" w:hAnsi="Times New Roman"/>
          <w:b/>
          <w:sz w:val="26"/>
          <w:szCs w:val="26"/>
        </w:rPr>
        <w:t xml:space="preserve"> </w:t>
      </w:r>
      <w:r>
        <w:rPr>
          <w:rFonts w:ascii="Times New Roman" w:hAnsi="Times New Roman"/>
          <w:sz w:val="26"/>
          <w:szCs w:val="26"/>
        </w:rPr>
        <w:t xml:space="preserve">могат да се обобщят следните откроени </w:t>
      </w:r>
      <w:r>
        <w:rPr>
          <w:rFonts w:ascii="Times New Roman" w:hAnsi="Times New Roman"/>
          <w:b/>
          <w:sz w:val="26"/>
          <w:szCs w:val="26"/>
        </w:rPr>
        <w:t>осно</w:t>
      </w:r>
      <w:r>
        <w:rPr>
          <w:rFonts w:ascii="Times New Roman" w:hAnsi="Times New Roman"/>
          <w:b/>
          <w:sz w:val="26"/>
          <w:szCs w:val="26"/>
        </w:rPr>
        <w:t>вни проблеми</w:t>
      </w:r>
      <w:r>
        <w:rPr>
          <w:rFonts w:ascii="Times New Roman" w:hAnsi="Times New Roman"/>
          <w:sz w:val="26"/>
          <w:szCs w:val="26"/>
        </w:rPr>
        <w:t xml:space="preserve"> според тях при издаването и разпространението на вестници и списания в страната: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междуфирмена задлъжнялост в сектора, която може да доведе до нарушаване разпоредбите на ЗЗК от страна на дистрибуторите на едро към дистрибуторите на дребно, ка</w:t>
      </w:r>
      <w:r>
        <w:rPr>
          <w:rFonts w:ascii="Times New Roman" w:hAnsi="Times New Roman"/>
          <w:sz w:val="26"/>
          <w:szCs w:val="26"/>
        </w:rPr>
        <w:t>кто и от страна на издателите към дистрибуторите;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прилагането на различните търговски отстъпки и продажби на издания под себестойност.</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налагане на търговски условия - на кого, какво и в какви количества да се продава;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предоставяне на определен дистри</w:t>
      </w:r>
      <w:r>
        <w:rPr>
          <w:rFonts w:ascii="Times New Roman" w:hAnsi="Times New Roman"/>
          <w:sz w:val="26"/>
          <w:szCs w:val="26"/>
        </w:rPr>
        <w:t>бутор на изключителни права за регионално или национално разпространение на печатните издания;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вертикална интегрираност – издател-разпространител;</w:t>
      </w:r>
    </w:p>
    <w:p w:rsidR="00000000" w:rsidRDefault="003E498D">
      <w:pPr>
        <w:pStyle w:val="NoSpacing"/>
        <w:ind w:firstLine="708"/>
        <w:contextualSpacing/>
        <w:jc w:val="both"/>
        <w:rPr>
          <w:rFonts w:ascii="Times New Roman" w:hAnsi="Times New Roman"/>
          <w:sz w:val="26"/>
          <w:szCs w:val="26"/>
          <w:lang w:val="en-US"/>
        </w:rPr>
      </w:pPr>
      <w:r>
        <w:rPr>
          <w:rFonts w:ascii="Times New Roman" w:hAnsi="Times New Roman"/>
          <w:sz w:val="26"/>
          <w:szCs w:val="26"/>
        </w:rPr>
        <w:t>-липса на финансово-счетоводна отчетност за получения и реализиран тираж и на отчитане на продажбите чрез ф</w:t>
      </w:r>
      <w:r>
        <w:rPr>
          <w:rFonts w:ascii="Times New Roman" w:hAnsi="Times New Roman"/>
          <w:sz w:val="26"/>
          <w:szCs w:val="26"/>
        </w:rPr>
        <w:t>искални устройства (касови апарати);</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Анкетираните участници обобщено посочват следните </w:t>
      </w:r>
      <w:r>
        <w:rPr>
          <w:rFonts w:ascii="Times New Roman" w:hAnsi="Times New Roman"/>
          <w:b/>
          <w:sz w:val="26"/>
          <w:szCs w:val="26"/>
        </w:rPr>
        <w:t>основни препоръки</w:t>
      </w:r>
      <w:r>
        <w:rPr>
          <w:rFonts w:ascii="Times New Roman" w:hAnsi="Times New Roman"/>
          <w:sz w:val="26"/>
          <w:szCs w:val="26"/>
        </w:rPr>
        <w:t xml:space="preserve"> за преодоляване на откроените проблеми в сектора: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 изготвяне на специализирана нормативна база, указваща ясно правилата за извършване на издателска и </w:t>
      </w:r>
      <w:r>
        <w:rPr>
          <w:rFonts w:ascii="Times New Roman" w:hAnsi="Times New Roman"/>
          <w:sz w:val="26"/>
          <w:szCs w:val="26"/>
        </w:rPr>
        <w:t>разпространителска дейност;</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lastRenderedPageBreak/>
        <w:t xml:space="preserve"> -  създаването на независим орган, който да извършва одит на тиражите и продажбите;</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xml:space="preserve">- въвеждане на законово изискване за отчитане на продажбите чрез касови апарати; </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задължение за издателите и разпространители да приемат и пу</w:t>
      </w:r>
      <w:r>
        <w:rPr>
          <w:rFonts w:ascii="Times New Roman" w:hAnsi="Times New Roman"/>
          <w:sz w:val="26"/>
          <w:szCs w:val="26"/>
        </w:rPr>
        <w:t>бликуват Общи търговски условия за доставка и продажба на периодични печатни издания при равноправни  спрямо различните категории търговци (дистрибутори на едро/ дребно) условия;</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допускане на браншови споразумения между Съюза на издателите в България и с</w:t>
      </w:r>
      <w:r>
        <w:rPr>
          <w:rFonts w:ascii="Times New Roman" w:hAnsi="Times New Roman"/>
          <w:sz w:val="26"/>
          <w:szCs w:val="26"/>
        </w:rPr>
        <w:t>дружения на разпространители на печатни произведения за режим за доставка на вестници и определяне на размера на ТО;</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всяко издание да бъде доставено и предложено на всяко място за продажба;</w:t>
      </w:r>
    </w:p>
    <w:p w:rsidR="00000000" w:rsidRDefault="003E498D">
      <w:pPr>
        <w:pStyle w:val="NoSpacing"/>
        <w:ind w:firstLine="708"/>
        <w:contextualSpacing/>
        <w:jc w:val="both"/>
        <w:rPr>
          <w:rFonts w:ascii="Times New Roman" w:hAnsi="Times New Roman"/>
          <w:sz w:val="26"/>
          <w:szCs w:val="26"/>
        </w:rPr>
      </w:pPr>
      <w:r>
        <w:rPr>
          <w:rFonts w:ascii="Times New Roman" w:hAnsi="Times New Roman"/>
          <w:sz w:val="26"/>
          <w:szCs w:val="26"/>
        </w:rPr>
        <w:t>- забрана за вертикална интегрираност между издател и разпростра</w:t>
      </w:r>
      <w:r>
        <w:rPr>
          <w:rFonts w:ascii="Times New Roman" w:hAnsi="Times New Roman"/>
          <w:sz w:val="26"/>
          <w:szCs w:val="26"/>
        </w:rPr>
        <w:t>нител.</w:t>
      </w:r>
    </w:p>
    <w:p w:rsidR="00000000" w:rsidRDefault="003E498D">
      <w:pPr>
        <w:contextualSpacing/>
        <w:jc w:val="both"/>
        <w:rPr>
          <w:rFonts w:ascii="Times New Roman" w:hAnsi="Times New Roman"/>
          <w:b/>
          <w:sz w:val="26"/>
          <w:szCs w:val="26"/>
          <w:lang w:val="en-US" w:eastAsia="en-US"/>
        </w:rPr>
      </w:pPr>
    </w:p>
    <w:p w:rsidR="00000000" w:rsidRDefault="003E498D">
      <w:pPr>
        <w:ind w:firstLine="709"/>
        <w:contextualSpacing/>
        <w:jc w:val="both"/>
        <w:rPr>
          <w:rFonts w:ascii="Times New Roman" w:hAnsi="Times New Roman"/>
          <w:b/>
          <w:sz w:val="26"/>
          <w:szCs w:val="26"/>
          <w:lang w:eastAsia="en-US"/>
        </w:rPr>
      </w:pPr>
      <w:r>
        <w:rPr>
          <w:rFonts w:ascii="Times New Roman" w:hAnsi="Times New Roman"/>
          <w:b/>
          <w:sz w:val="26"/>
          <w:szCs w:val="26"/>
          <w:lang w:eastAsia="en-US"/>
        </w:rPr>
        <w:t>Крайни изводи за конкурентната среда в сектора въз основа на  установените договорни отношения по веригата издател-разпространител на едро-разпространител на дребно</w:t>
      </w:r>
    </w:p>
    <w:p w:rsidR="00000000" w:rsidRDefault="003E498D">
      <w:pPr>
        <w:ind w:firstLine="709"/>
        <w:contextualSpacing/>
        <w:jc w:val="both"/>
        <w:rPr>
          <w:rFonts w:ascii="Times New Roman" w:hAnsi="Times New Roman"/>
          <w:sz w:val="26"/>
          <w:szCs w:val="26"/>
          <w:lang w:eastAsia="en-US"/>
        </w:rPr>
      </w:pPr>
      <w:r>
        <w:rPr>
          <w:rFonts w:ascii="Times New Roman" w:hAnsi="Times New Roman"/>
          <w:sz w:val="26"/>
          <w:szCs w:val="26"/>
          <w:lang w:eastAsia="en-US"/>
        </w:rPr>
        <w:t xml:space="preserve">Комисията инициира настоящия секторен анализ след постъпили в КЗК сигнали, както и </w:t>
      </w:r>
      <w:r>
        <w:rPr>
          <w:rFonts w:ascii="Times New Roman" w:hAnsi="Times New Roman"/>
          <w:sz w:val="26"/>
          <w:szCs w:val="26"/>
          <w:lang w:eastAsia="en-US"/>
        </w:rPr>
        <w:t>публикации в пресата, свързани с предприети действия от дистрибутори на вестници и списания, целящи ограничаване на продажбите на някои основни периодични издания – национални ежедневници и седмичници.  Тъй като печатните издания се явяват значим носител н</w:t>
      </w:r>
      <w:r>
        <w:rPr>
          <w:rFonts w:ascii="Times New Roman" w:hAnsi="Times New Roman"/>
          <w:sz w:val="26"/>
          <w:szCs w:val="26"/>
          <w:lang w:eastAsia="en-US"/>
        </w:rPr>
        <w:t>а информация и ограничаването на свободния достъп до тях би представлявало нарушение на едно от основните права на гражданите, то целта, която си постави КЗК, бе да установи дали съществуват антиконкурентни практики в начина и условията на тяхното разпрост</w:t>
      </w:r>
      <w:r>
        <w:rPr>
          <w:rFonts w:ascii="Times New Roman" w:hAnsi="Times New Roman"/>
          <w:sz w:val="26"/>
          <w:szCs w:val="26"/>
          <w:lang w:eastAsia="en-US"/>
        </w:rPr>
        <w:t xml:space="preserve">раняване и ограничаване на достъпа им до читателската аудитория в страната. </w:t>
      </w:r>
    </w:p>
    <w:p w:rsidR="00000000" w:rsidRDefault="003E498D">
      <w:pPr>
        <w:ind w:firstLine="709"/>
        <w:contextualSpacing/>
        <w:jc w:val="both"/>
        <w:rPr>
          <w:rFonts w:ascii="Times New Roman" w:hAnsi="Times New Roman"/>
          <w:sz w:val="26"/>
          <w:szCs w:val="26"/>
          <w:lang w:eastAsia="en-US"/>
        </w:rPr>
      </w:pPr>
      <w:r>
        <w:rPr>
          <w:rFonts w:ascii="Times New Roman" w:hAnsi="Times New Roman"/>
          <w:sz w:val="26"/>
          <w:szCs w:val="26"/>
          <w:lang w:eastAsia="en-US"/>
        </w:rPr>
        <w:t>Откроените в сигналите и в хода на анализа проблеми, произтичащи от фактическата зависимост на разпространителите на вестници и печатни издания от техните доставчици, могат да бъд</w:t>
      </w:r>
      <w:r>
        <w:rPr>
          <w:rFonts w:ascii="Times New Roman" w:hAnsi="Times New Roman"/>
          <w:sz w:val="26"/>
          <w:szCs w:val="26"/>
          <w:lang w:eastAsia="en-US"/>
        </w:rPr>
        <w:t>ат индикация за съществуването на практики, които могат да увредят конкуренцията и да ограничат предлагането на пълния набор печатни издания до читателската аудитория. Това наложи настоящият анализ да акцентира върху търговските отношения между участниците</w:t>
      </w:r>
      <w:r>
        <w:rPr>
          <w:rFonts w:ascii="Times New Roman" w:hAnsi="Times New Roman"/>
          <w:sz w:val="26"/>
          <w:szCs w:val="26"/>
          <w:lang w:eastAsia="en-US"/>
        </w:rPr>
        <w:t xml:space="preserve"> на всяко едно ниво от вертикално свързания процес от издаването на печатното издание до продажбата му на крайния клиент (читателя).</w:t>
      </w:r>
    </w:p>
    <w:p w:rsidR="00000000" w:rsidRDefault="003E498D">
      <w:pPr>
        <w:ind w:firstLine="708"/>
        <w:contextualSpacing/>
        <w:jc w:val="both"/>
        <w:rPr>
          <w:rFonts w:ascii="Times New Roman" w:hAnsi="Times New Roman"/>
          <w:sz w:val="26"/>
          <w:szCs w:val="26"/>
          <w:lang w:eastAsia="en-US"/>
        </w:rPr>
      </w:pPr>
      <w:r>
        <w:rPr>
          <w:rFonts w:ascii="Times New Roman" w:hAnsi="Times New Roman"/>
          <w:sz w:val="26"/>
          <w:szCs w:val="26"/>
          <w:lang w:eastAsia="en-US"/>
        </w:rPr>
        <w:t>С цел да бъдат установени тези отношения, бяха изискани доказателства от основните издатели и разпространители, включващи п</w:t>
      </w:r>
      <w:r>
        <w:rPr>
          <w:rFonts w:ascii="Times New Roman" w:hAnsi="Times New Roman"/>
          <w:sz w:val="26"/>
          <w:szCs w:val="26"/>
          <w:lang w:eastAsia="en-US"/>
        </w:rPr>
        <w:t xml:space="preserve">редоставянето на следните документи: индивидуалните договори, приложенията и анексите към тях, общите условия за тяхното сключване, размер на търговски отстъпки и др. </w:t>
      </w:r>
    </w:p>
    <w:p w:rsidR="00000000" w:rsidRDefault="003E498D">
      <w:pPr>
        <w:ind w:firstLine="709"/>
        <w:contextualSpacing/>
        <w:jc w:val="both"/>
        <w:rPr>
          <w:rFonts w:ascii="Times New Roman" w:hAnsi="Times New Roman"/>
          <w:sz w:val="26"/>
          <w:szCs w:val="26"/>
          <w:lang w:eastAsia="en-US"/>
        </w:rPr>
      </w:pPr>
      <w:r>
        <w:rPr>
          <w:rFonts w:ascii="Times New Roman" w:hAnsi="Times New Roman"/>
          <w:sz w:val="26"/>
          <w:szCs w:val="26"/>
          <w:lang w:eastAsia="en-US"/>
        </w:rPr>
        <w:t>Въз основа на тези документи Комисията детайлно анализира търговските взаимоотношения ме</w:t>
      </w:r>
      <w:r>
        <w:rPr>
          <w:rFonts w:ascii="Times New Roman" w:hAnsi="Times New Roman"/>
          <w:sz w:val="26"/>
          <w:szCs w:val="26"/>
          <w:lang w:eastAsia="en-US"/>
        </w:rPr>
        <w:t>жду отделните участници, опериращи на различни нива по веригата издател-разпространител на едро-разпространител на дребно. Комисията достигна до извод, че представените общи условия, договори, приложения и анекси към тях не съдържат клаузи, водещи до огран</w:t>
      </w:r>
      <w:r>
        <w:rPr>
          <w:rFonts w:ascii="Times New Roman" w:hAnsi="Times New Roman"/>
          <w:sz w:val="26"/>
          <w:szCs w:val="26"/>
          <w:lang w:eastAsia="en-US"/>
        </w:rPr>
        <w:t>ичаване дейността на участниците в сектора.</w:t>
      </w:r>
    </w:p>
    <w:p w:rsidR="00000000" w:rsidRDefault="003E498D">
      <w:pPr>
        <w:ind w:firstLine="709"/>
        <w:contextualSpacing/>
        <w:jc w:val="both"/>
        <w:rPr>
          <w:rFonts w:ascii="Times New Roman" w:hAnsi="Times New Roman"/>
          <w:sz w:val="26"/>
          <w:szCs w:val="26"/>
          <w:lang w:eastAsia="en-US"/>
        </w:rPr>
      </w:pPr>
      <w:r>
        <w:rPr>
          <w:rFonts w:ascii="Times New Roman" w:hAnsi="Times New Roman"/>
          <w:sz w:val="26"/>
          <w:szCs w:val="26"/>
          <w:lang w:eastAsia="en-US"/>
        </w:rPr>
        <w:lastRenderedPageBreak/>
        <w:t>КЗК установи също, че възприетият механизъм за разпространяване на печатните издания от години не е  променян, а сключените през разглеждания тригодишен период договори между издателите и разпространителите, какт</w:t>
      </w:r>
      <w:r>
        <w:rPr>
          <w:rFonts w:ascii="Times New Roman" w:hAnsi="Times New Roman"/>
          <w:sz w:val="26"/>
          <w:szCs w:val="26"/>
          <w:lang w:eastAsia="en-US"/>
        </w:rPr>
        <w:t xml:space="preserve">о и тези между разпространители, опериращи на различни нива (на едро и на дребно), не са били съществено изменени. </w:t>
      </w:r>
    </w:p>
    <w:p w:rsidR="00000000" w:rsidRDefault="003E498D">
      <w:pPr>
        <w:ind w:firstLine="709"/>
        <w:contextualSpacing/>
        <w:jc w:val="both"/>
        <w:rPr>
          <w:rFonts w:ascii="Times New Roman" w:hAnsi="Times New Roman"/>
          <w:sz w:val="26"/>
          <w:szCs w:val="26"/>
          <w:lang w:eastAsia="en-US"/>
        </w:rPr>
      </w:pPr>
      <w:r>
        <w:rPr>
          <w:rFonts w:ascii="Times New Roman" w:hAnsi="Times New Roman"/>
          <w:sz w:val="26"/>
          <w:szCs w:val="26"/>
          <w:lang w:eastAsia="en-US"/>
        </w:rPr>
        <w:t>Обичайният срок, за който се сключват договорите, уреждащи отношенията в сектора, е една година.  Не бяха представени споразумения с друг пе</w:t>
      </w:r>
      <w:r>
        <w:rPr>
          <w:rFonts w:ascii="Times New Roman" w:hAnsi="Times New Roman"/>
          <w:sz w:val="26"/>
          <w:szCs w:val="26"/>
          <w:lang w:eastAsia="en-US"/>
        </w:rPr>
        <w:t>риод на действие – с изключение на тези с Агенция Стрела Не бяха установени случаи на необосновано прекратяване на договорите между издатели и разпространители, както и между разпространители от различните нива на разпространение. Суспендирането на тези до</w:t>
      </w:r>
      <w:r>
        <w:rPr>
          <w:rFonts w:ascii="Times New Roman" w:hAnsi="Times New Roman"/>
          <w:sz w:val="26"/>
          <w:szCs w:val="26"/>
          <w:lang w:eastAsia="en-US"/>
        </w:rPr>
        <w:t xml:space="preserve">говори през обхванатия от анализа тригодишен период е било на основания, предвидени в самите договори (изтичане на срока по тях, прекратяване на дейността на някоя от страните или неизпълнение на договорни задължения). </w:t>
      </w:r>
    </w:p>
    <w:p w:rsidR="00000000" w:rsidRDefault="003E498D">
      <w:pPr>
        <w:ind w:firstLine="709"/>
        <w:contextualSpacing/>
        <w:jc w:val="both"/>
        <w:rPr>
          <w:rFonts w:ascii="Times New Roman" w:hAnsi="Times New Roman"/>
          <w:sz w:val="26"/>
          <w:szCs w:val="26"/>
          <w:lang w:eastAsia="en-US"/>
        </w:rPr>
      </w:pPr>
      <w:r>
        <w:rPr>
          <w:rFonts w:ascii="Times New Roman" w:hAnsi="Times New Roman"/>
          <w:sz w:val="26"/>
          <w:szCs w:val="26"/>
          <w:lang w:eastAsia="en-US"/>
        </w:rPr>
        <w:t>За изследвания период не бе установе</w:t>
      </w:r>
      <w:r>
        <w:rPr>
          <w:rFonts w:ascii="Times New Roman" w:hAnsi="Times New Roman"/>
          <w:sz w:val="26"/>
          <w:szCs w:val="26"/>
          <w:lang w:eastAsia="en-US"/>
        </w:rPr>
        <w:t>на промяна и в размера на договорените търговски отстъпки, чрез изменение на клаузи от вече сключени споразумения. Търговските отстъпки основно зависят от обема доставен тираж, заглавието и периодиката на изданието. Същите, съгласно представените от анкети</w:t>
      </w:r>
      <w:r>
        <w:rPr>
          <w:rFonts w:ascii="Times New Roman" w:hAnsi="Times New Roman"/>
          <w:sz w:val="26"/>
          <w:szCs w:val="26"/>
          <w:lang w:eastAsia="en-US"/>
        </w:rPr>
        <w:t xml:space="preserve">раните участници справки, се запазват в границите между 30-35 % за вестниците и достигат до 40 % за списанията. Единствено </w:t>
      </w:r>
      <w:r>
        <w:rPr>
          <w:rFonts w:ascii="Times New Roman" w:hAnsi="Times New Roman"/>
        </w:rPr>
        <w:t>(...)</w:t>
      </w:r>
      <w:r>
        <w:rPr>
          <w:rFonts w:ascii="Times New Roman" w:hAnsi="Times New Roman"/>
        </w:rPr>
        <w:sym w:font="Symbol" w:char="F02A"/>
      </w:r>
      <w:r>
        <w:rPr>
          <w:rFonts w:ascii="Times New Roman" w:hAnsi="Times New Roman"/>
          <w:color w:val="FF0000"/>
          <w:sz w:val="26"/>
          <w:szCs w:val="26"/>
          <w:lang w:eastAsia="en-US"/>
        </w:rPr>
        <w:t>.</w:t>
      </w:r>
      <w:r>
        <w:rPr>
          <w:rFonts w:ascii="Times New Roman" w:hAnsi="Times New Roman"/>
          <w:sz w:val="26"/>
          <w:szCs w:val="26"/>
          <w:lang w:eastAsia="en-US"/>
        </w:rPr>
        <w:t xml:space="preserve"> Съгласно допълнително постъпилата информация и документи от „Агенция Стрела“ ЕООД, през м.юни 2012 г. дружеството е сключило </w:t>
      </w:r>
      <w:r>
        <w:rPr>
          <w:rFonts w:ascii="Times New Roman" w:hAnsi="Times New Roman"/>
          <w:sz w:val="26"/>
          <w:szCs w:val="26"/>
          <w:lang w:eastAsia="en-US"/>
        </w:rPr>
        <w:t xml:space="preserve">с „НАР“ ЕАД и „Прес 2000“ ЕООД договор за продажба на изданията на МГБХ с ТО в размер на </w:t>
      </w:r>
      <w:r>
        <w:rPr>
          <w:rFonts w:ascii="Times New Roman" w:hAnsi="Times New Roman"/>
        </w:rPr>
        <w:t>(...)</w:t>
      </w:r>
      <w:r>
        <w:rPr>
          <w:rFonts w:ascii="Times New Roman" w:hAnsi="Times New Roman"/>
        </w:rPr>
        <w:sym w:font="Symbol" w:char="F02A"/>
      </w:r>
      <w:r>
        <w:rPr>
          <w:rFonts w:ascii="Times New Roman" w:hAnsi="Times New Roman"/>
          <w:sz w:val="26"/>
          <w:szCs w:val="26"/>
          <w:lang w:eastAsia="en-US"/>
        </w:rPr>
        <w:t xml:space="preserve"> за предлаганите от групата печатни издания.   </w:t>
      </w:r>
    </w:p>
    <w:p w:rsidR="00000000" w:rsidRDefault="003E498D">
      <w:pPr>
        <w:ind w:firstLine="709"/>
        <w:contextualSpacing/>
        <w:jc w:val="both"/>
        <w:rPr>
          <w:rFonts w:ascii="Times New Roman" w:hAnsi="Times New Roman"/>
          <w:sz w:val="26"/>
          <w:szCs w:val="26"/>
          <w:lang w:eastAsia="en-US"/>
        </w:rPr>
      </w:pPr>
      <w:r>
        <w:rPr>
          <w:rFonts w:ascii="Times New Roman" w:hAnsi="Times New Roman"/>
          <w:sz w:val="26"/>
          <w:szCs w:val="26"/>
          <w:lang w:eastAsia="en-US"/>
        </w:rPr>
        <w:t>В някои от становищата на разпространителите като проблем се посочва едностранното определяне на размера на търго</w:t>
      </w:r>
      <w:r>
        <w:rPr>
          <w:rFonts w:ascii="Times New Roman" w:hAnsi="Times New Roman"/>
          <w:sz w:val="26"/>
          <w:szCs w:val="26"/>
          <w:lang w:eastAsia="en-US"/>
        </w:rPr>
        <w:t xml:space="preserve">вските отстъпки от издателите, което трудно подлежи на договаряне, а в случай на промяна издателите налагат други допълнителни изисквания за разпространяването на техните издания. Въз основа на събраната информация Комисията не може да направи заключение, </w:t>
      </w:r>
      <w:r>
        <w:rPr>
          <w:rFonts w:ascii="Times New Roman" w:hAnsi="Times New Roman"/>
          <w:sz w:val="26"/>
          <w:szCs w:val="26"/>
          <w:lang w:eastAsia="en-US"/>
        </w:rPr>
        <w:t>че липсата на промяна в размера на търговските отстъпки, предоставяни от издателите, противоречи на обичайните пазарни условия. Съгласно  данните на НСИ е налице спад в броя на отпечатаните тиражи поради намаленото търсене на печатни издания. За анализиран</w:t>
      </w:r>
      <w:r>
        <w:rPr>
          <w:rFonts w:ascii="Times New Roman" w:hAnsi="Times New Roman"/>
          <w:sz w:val="26"/>
          <w:szCs w:val="26"/>
          <w:lang w:eastAsia="en-US"/>
        </w:rPr>
        <w:t>ия период се наблюдава увеличаване на процента на непродадените печатни издания (основни национални ежедневници и седмичници), който към края на 2011 година при ежедневните издания достига до 40%, а при някои - дори до 50%/70%. За седмичните издания в края</w:t>
      </w:r>
      <w:r>
        <w:rPr>
          <w:rFonts w:ascii="Times New Roman" w:hAnsi="Times New Roman"/>
          <w:sz w:val="26"/>
          <w:szCs w:val="26"/>
          <w:lang w:eastAsia="en-US"/>
        </w:rPr>
        <w:t xml:space="preserve"> на разглеждания тригодишен период този процент е в границите от 35% до 60%. Според постъпилата от издателите информация е налице покачване на разходите по отпечатване на изданията, но въпреки това като цяло няма промяна в тяхната корична цена, респективно</w:t>
      </w:r>
      <w:r>
        <w:rPr>
          <w:rFonts w:ascii="Times New Roman" w:hAnsi="Times New Roman"/>
          <w:sz w:val="26"/>
          <w:szCs w:val="26"/>
          <w:lang w:eastAsia="en-US"/>
        </w:rPr>
        <w:t xml:space="preserve"> в размера на търговската отстъпка, поради намаляване на приходите им от продажба. Също така не се установи да е прилаган различен подход при определянето на размера на търговските отстъпки за определени дистрибутори, което да води до нарушаване на конкуре</w:t>
      </w:r>
      <w:r>
        <w:rPr>
          <w:rFonts w:ascii="Times New Roman" w:hAnsi="Times New Roman"/>
          <w:sz w:val="26"/>
          <w:szCs w:val="26"/>
          <w:lang w:eastAsia="en-US"/>
        </w:rPr>
        <w:t>нцията между тях. Принципно всеки един издател на национален вестник има интерес неговото издание да достига до максимален брой читатели на територията на цялата страна.</w:t>
      </w:r>
    </w:p>
    <w:p w:rsidR="00000000" w:rsidRDefault="003E498D">
      <w:pPr>
        <w:ind w:firstLine="709"/>
        <w:contextualSpacing/>
        <w:jc w:val="both"/>
        <w:rPr>
          <w:rFonts w:ascii="Times New Roman" w:hAnsi="Times New Roman"/>
          <w:sz w:val="26"/>
          <w:szCs w:val="26"/>
          <w:lang w:eastAsia="en-US"/>
        </w:rPr>
      </w:pPr>
      <w:r>
        <w:rPr>
          <w:rFonts w:ascii="Times New Roman" w:hAnsi="Times New Roman"/>
          <w:sz w:val="26"/>
          <w:szCs w:val="26"/>
          <w:lang w:eastAsia="en-US"/>
        </w:rPr>
        <w:lastRenderedPageBreak/>
        <w:t>Изразено бе и мнение от някои от анкетираните предприятия, че се извършват продажби на</w:t>
      </w:r>
      <w:r>
        <w:rPr>
          <w:rFonts w:ascii="Times New Roman" w:hAnsi="Times New Roman"/>
          <w:sz w:val="26"/>
          <w:szCs w:val="26"/>
          <w:lang w:eastAsia="en-US"/>
        </w:rPr>
        <w:t xml:space="preserve"> издания под тяхната себестойност, но същото не съдържаше насоки към конкретни примери за подобно поведение на участници на пазара, които да бъдат детайлно допълнително проучени. Същевременно,  Комисията в периода 2009 г.-2012 г. е извършвала разследвания </w:t>
      </w:r>
      <w:r>
        <w:rPr>
          <w:rFonts w:ascii="Times New Roman" w:hAnsi="Times New Roman"/>
          <w:sz w:val="26"/>
          <w:szCs w:val="26"/>
          <w:lang w:eastAsia="en-US"/>
        </w:rPr>
        <w:t>в рамките на образувани пред нея производства с такъв предмет и е постановила няколко решения по глава седма „Забрана за нелоялна конкуренция“ за липсата/наличието на нарушения по чл.36, ал.4 от ЗЗК.  Така например с Решение № 722/2010 г. е наложила имущес</w:t>
      </w:r>
      <w:r>
        <w:rPr>
          <w:rFonts w:ascii="Times New Roman" w:hAnsi="Times New Roman"/>
          <w:sz w:val="26"/>
          <w:szCs w:val="26"/>
          <w:lang w:eastAsia="en-US"/>
        </w:rPr>
        <w:t xml:space="preserve">твена санкция на „Експрес БГ“ АД за извършени продажби на издавания от него в.„Експрес” на цени под себестойност за периода от 2007г. до месец декември 2009г. По образувани производства в края на 2011 г., Комисията установява, че не е изпълнен съставът на </w:t>
      </w:r>
      <w:r>
        <w:rPr>
          <w:rFonts w:ascii="Times New Roman" w:hAnsi="Times New Roman"/>
          <w:sz w:val="26"/>
          <w:szCs w:val="26"/>
          <w:lang w:eastAsia="en-US"/>
        </w:rPr>
        <w:t xml:space="preserve">чл.36, ал.4 от ЗЗК и следователно не е налице извършено нарушение от страна на „България днес“ АД (Р. 537/2012 г.) и от „Ню Медия Груп“ АД (Р. № 538/12 г.). </w:t>
      </w:r>
    </w:p>
    <w:p w:rsidR="00000000" w:rsidRDefault="003E498D">
      <w:pPr>
        <w:ind w:firstLine="709"/>
        <w:contextualSpacing/>
        <w:jc w:val="both"/>
        <w:rPr>
          <w:rFonts w:ascii="Times New Roman" w:hAnsi="Times New Roman"/>
          <w:sz w:val="26"/>
          <w:szCs w:val="26"/>
          <w:lang w:eastAsia="en-US"/>
        </w:rPr>
      </w:pPr>
      <w:r>
        <w:rPr>
          <w:rFonts w:ascii="Times New Roman" w:hAnsi="Times New Roman"/>
          <w:sz w:val="26"/>
          <w:szCs w:val="26"/>
          <w:lang w:eastAsia="en-US"/>
        </w:rPr>
        <w:t xml:space="preserve"> Комисията достигна до извода, че клаузите на предоставените договори не въвеждат ограничения в по</w:t>
      </w:r>
      <w:r>
        <w:rPr>
          <w:rFonts w:ascii="Times New Roman" w:hAnsi="Times New Roman"/>
          <w:sz w:val="26"/>
          <w:szCs w:val="26"/>
          <w:lang w:eastAsia="en-US"/>
        </w:rPr>
        <w:t xml:space="preserve">ведението на дистрибуторите на печатни издания, тъй като не съдържат задължения за изключителна доставка (да закупуват печатни издания само от определен  издател или дистрибутор на едро), географски ограничения (да се извършва дистрибуция само в определен </w:t>
      </w:r>
      <w:r>
        <w:rPr>
          <w:rFonts w:ascii="Times New Roman" w:hAnsi="Times New Roman"/>
          <w:sz w:val="26"/>
          <w:szCs w:val="26"/>
          <w:lang w:eastAsia="en-US"/>
        </w:rPr>
        <w:t>регион или да не се извършва такава в определен район), нито предоставят изключителни права за дистрибуция на печатни издания, освен предоставените такива на „Агенция Стрела“ ЕООД за изданията на „МГБХ“ АД, т.е. между предприятия от една и съща икономическ</w:t>
      </w:r>
      <w:r>
        <w:rPr>
          <w:rFonts w:ascii="Times New Roman" w:hAnsi="Times New Roman"/>
          <w:sz w:val="26"/>
          <w:szCs w:val="26"/>
          <w:lang w:eastAsia="en-US"/>
        </w:rPr>
        <w:t>а група.</w:t>
      </w:r>
    </w:p>
    <w:p w:rsidR="00000000" w:rsidRDefault="003E498D">
      <w:pPr>
        <w:ind w:firstLine="709"/>
        <w:contextualSpacing/>
        <w:jc w:val="both"/>
        <w:rPr>
          <w:rFonts w:ascii="Times New Roman" w:hAnsi="Times New Roman"/>
          <w:sz w:val="26"/>
          <w:szCs w:val="26"/>
          <w:lang w:eastAsia="en-US"/>
        </w:rPr>
      </w:pPr>
      <w:r>
        <w:rPr>
          <w:rFonts w:ascii="Times New Roman" w:hAnsi="Times New Roman"/>
          <w:sz w:val="26"/>
          <w:szCs w:val="26"/>
          <w:lang w:eastAsia="en-US"/>
        </w:rPr>
        <w:t>Комисията приема, че пазарното присъствие на разпространителите на едро се определя от транспортните маршрути, по които те оперират, а тези на разпространителите на дребно – от броя на собствените/наети крайни пунктове за продажба. Въз основа на п</w:t>
      </w:r>
      <w:r>
        <w:rPr>
          <w:rFonts w:ascii="Times New Roman" w:hAnsi="Times New Roman"/>
          <w:sz w:val="26"/>
          <w:szCs w:val="26"/>
          <w:lang w:eastAsia="en-US"/>
        </w:rPr>
        <w:t>олучените от анкетираните участници данни за техния обхват на разпространение на печатни издания, налични складове/депа и крайни пунктове за продажба, Комисията достигна до заключението, че като основни участници при разпространението, опериращи в повече о</w:t>
      </w:r>
      <w:r>
        <w:rPr>
          <w:rFonts w:ascii="Times New Roman" w:hAnsi="Times New Roman"/>
          <w:sz w:val="26"/>
          <w:szCs w:val="26"/>
          <w:lang w:eastAsia="en-US"/>
        </w:rPr>
        <w:t xml:space="preserve">т един регион, могат да бъдат посочени следните дружества: </w:t>
      </w:r>
      <w:r>
        <w:rPr>
          <w:rFonts w:ascii="Times New Roman" w:hAnsi="Times New Roman"/>
          <w:sz w:val="26"/>
          <w:szCs w:val="26"/>
        </w:rPr>
        <w:t>„Агенция Стрела” ЕООД, Групата  Герини, „Сенатор“ ООД, „Оларт“ ЕООД, „НАР” ЕАД, „Прес“ ЕООД, „Прес 2000“ ЕООД,</w:t>
      </w:r>
      <w:r>
        <w:rPr>
          <w:rFonts w:ascii="Times New Roman" w:hAnsi="Times New Roman"/>
          <w:sz w:val="26"/>
          <w:szCs w:val="26"/>
          <w:lang w:eastAsia="en-US"/>
        </w:rPr>
        <w:t xml:space="preserve"> като на база на събраната информация не може да бъде направено заключение относно нали</w:t>
      </w:r>
      <w:r>
        <w:rPr>
          <w:rFonts w:ascii="Times New Roman" w:hAnsi="Times New Roman"/>
          <w:sz w:val="26"/>
          <w:szCs w:val="26"/>
          <w:lang w:eastAsia="en-US"/>
        </w:rPr>
        <w:t>чие на господстващо положение на някой</w:t>
      </w:r>
      <w:r>
        <w:rPr>
          <w:rFonts w:ascii="Times New Roman" w:hAnsi="Times New Roman"/>
          <w:color w:val="4F81BD"/>
          <w:sz w:val="26"/>
          <w:szCs w:val="26"/>
          <w:lang w:eastAsia="en-US"/>
        </w:rPr>
        <w:t xml:space="preserve"> </w:t>
      </w:r>
      <w:r>
        <w:rPr>
          <w:rFonts w:ascii="Times New Roman" w:hAnsi="Times New Roman"/>
          <w:sz w:val="26"/>
          <w:szCs w:val="26"/>
          <w:lang w:eastAsia="en-US"/>
        </w:rPr>
        <w:t>от тези разпространители и да се приеме, че той е независим в поведението си от своите доставчици, конкуренти и клиенти.</w:t>
      </w:r>
    </w:p>
    <w:p w:rsidR="00000000" w:rsidRDefault="003E498D">
      <w:pPr>
        <w:ind w:firstLine="709"/>
        <w:contextualSpacing/>
        <w:jc w:val="both"/>
        <w:rPr>
          <w:rFonts w:ascii="Times New Roman" w:hAnsi="Times New Roman"/>
          <w:sz w:val="26"/>
          <w:szCs w:val="26"/>
          <w:lang w:eastAsia="en-US"/>
        </w:rPr>
      </w:pPr>
      <w:r>
        <w:rPr>
          <w:rFonts w:ascii="Times New Roman" w:hAnsi="Times New Roman"/>
          <w:sz w:val="26"/>
          <w:szCs w:val="26"/>
          <w:lang w:eastAsia="en-US"/>
        </w:rPr>
        <w:t>За разлика от пазара на издаването на печатни издания, който се характеризира с трудно преодолим</w:t>
      </w:r>
      <w:r>
        <w:rPr>
          <w:rFonts w:ascii="Times New Roman" w:hAnsi="Times New Roman"/>
          <w:sz w:val="26"/>
          <w:szCs w:val="26"/>
          <w:lang w:eastAsia="en-US"/>
        </w:rPr>
        <w:t xml:space="preserve">и бариери за навлизане, подробно анализирани в Раздел </w:t>
      </w:r>
      <w:r>
        <w:rPr>
          <w:rFonts w:ascii="Times New Roman" w:hAnsi="Times New Roman"/>
          <w:sz w:val="26"/>
          <w:szCs w:val="26"/>
        </w:rPr>
        <w:t>4.7.1.1</w:t>
      </w:r>
      <w:r>
        <w:rPr>
          <w:rFonts w:ascii="Times New Roman" w:hAnsi="Times New Roman"/>
          <w:b/>
          <w:sz w:val="26"/>
          <w:szCs w:val="26"/>
        </w:rPr>
        <w:t xml:space="preserve"> </w:t>
      </w:r>
      <w:r>
        <w:rPr>
          <w:rFonts w:ascii="Times New Roman" w:hAnsi="Times New Roman"/>
          <w:sz w:val="26"/>
          <w:szCs w:val="26"/>
          <w:lang w:eastAsia="en-US"/>
        </w:rPr>
        <w:t xml:space="preserve">на секторния анализ,  при извършването на дейността по тяхното разпространение бариерите не са така значими. </w:t>
      </w:r>
    </w:p>
    <w:p w:rsidR="00000000" w:rsidRDefault="003E498D">
      <w:pPr>
        <w:ind w:firstLine="709"/>
        <w:contextualSpacing/>
        <w:jc w:val="both"/>
        <w:rPr>
          <w:rFonts w:ascii="Times New Roman" w:hAnsi="Times New Roman"/>
          <w:sz w:val="26"/>
          <w:szCs w:val="26"/>
          <w:lang w:eastAsia="en-US"/>
        </w:rPr>
      </w:pPr>
      <w:r>
        <w:rPr>
          <w:rFonts w:ascii="Times New Roman" w:hAnsi="Times New Roman"/>
          <w:sz w:val="26"/>
          <w:szCs w:val="26"/>
          <w:lang w:eastAsia="en-US"/>
        </w:rPr>
        <w:t>В хода на проучването обаче се установи, че за анализирания период е налице обединяв</w:t>
      </w:r>
      <w:r>
        <w:rPr>
          <w:rFonts w:ascii="Times New Roman" w:hAnsi="Times New Roman"/>
          <w:sz w:val="26"/>
          <w:szCs w:val="26"/>
          <w:lang w:eastAsia="en-US"/>
        </w:rPr>
        <w:t>ане между трайно настанилите се на пазара разпространители, целящо оптимизиране на техните разходи и получаване на икономии от обхвата и мащаба. Процесът на окрупняване води и до повишаване концентрацията на пазара, което прави бариерите за навлизане както</w:t>
      </w:r>
      <w:r>
        <w:rPr>
          <w:rFonts w:ascii="Times New Roman" w:hAnsi="Times New Roman"/>
          <w:sz w:val="26"/>
          <w:szCs w:val="26"/>
          <w:lang w:eastAsia="en-US"/>
        </w:rPr>
        <w:t xml:space="preserve"> на ниво разпространение на едро, така и на дребно, по-високи, тъй като тези участници оперират и на двете </w:t>
      </w:r>
      <w:r>
        <w:rPr>
          <w:rFonts w:ascii="Times New Roman" w:hAnsi="Times New Roman"/>
          <w:sz w:val="26"/>
          <w:szCs w:val="26"/>
          <w:lang w:eastAsia="en-US"/>
        </w:rPr>
        <w:lastRenderedPageBreak/>
        <w:t>нива на дистрибуция. Същевременно, няма данни и доказателства, въз основа на които КЗК категорично да открои като конкурентен проблем вертикалната ин</w:t>
      </w:r>
      <w:r>
        <w:rPr>
          <w:rFonts w:ascii="Times New Roman" w:hAnsi="Times New Roman"/>
          <w:sz w:val="26"/>
          <w:szCs w:val="26"/>
          <w:lang w:eastAsia="en-US"/>
        </w:rPr>
        <w:t>тегрираност в сектора, и особено тази между издател и дистрибутор на едро, и да препоръча въвеждането на законодателни мерки срещу нейното ограничаване, както предлагат някои от анкетираните участници. Такива мерки биха могли да бъдат дискутирани при налич</w:t>
      </w:r>
      <w:r>
        <w:rPr>
          <w:rFonts w:ascii="Times New Roman" w:hAnsi="Times New Roman"/>
          <w:sz w:val="26"/>
          <w:szCs w:val="26"/>
          <w:lang w:eastAsia="en-US"/>
        </w:rPr>
        <w:t>ие на доказателства, пораждащи основателни съмнения, че поведението на вертикално интегрираните фирми на пазара препятства конкуренцията, каквито не са идентифицирани в рамките на настоящия секторен анализ.</w:t>
      </w:r>
    </w:p>
    <w:p w:rsidR="00000000" w:rsidRDefault="003E498D">
      <w:pPr>
        <w:ind w:firstLine="709"/>
        <w:contextualSpacing/>
        <w:jc w:val="both"/>
        <w:rPr>
          <w:rFonts w:ascii="Times New Roman" w:hAnsi="Times New Roman"/>
          <w:color w:val="FF0000"/>
          <w:sz w:val="26"/>
          <w:szCs w:val="26"/>
          <w:lang w:eastAsia="en-US"/>
        </w:rPr>
      </w:pPr>
      <w:r>
        <w:rPr>
          <w:rFonts w:ascii="Times New Roman" w:hAnsi="Times New Roman"/>
          <w:sz w:val="26"/>
          <w:szCs w:val="26"/>
          <w:lang w:eastAsia="en-US"/>
        </w:rPr>
        <w:t>За да се установи дали дадено обединяване или про</w:t>
      </w:r>
      <w:r>
        <w:rPr>
          <w:rFonts w:ascii="Times New Roman" w:hAnsi="Times New Roman"/>
          <w:sz w:val="26"/>
          <w:szCs w:val="26"/>
          <w:lang w:eastAsia="en-US"/>
        </w:rPr>
        <w:t>мяна в упражнявания контрол представлява концентрация между предприятия по смисъла на чл.22 от ЗЗК, е необходимо да се изследва доколко те са осъществени на трайна основа и дали покриват праговете за оборот по чл.24 от ЗЗК. Комисията ще проследи извън анал</w:t>
      </w:r>
      <w:r>
        <w:rPr>
          <w:rFonts w:ascii="Times New Roman" w:hAnsi="Times New Roman"/>
          <w:sz w:val="26"/>
          <w:szCs w:val="26"/>
          <w:lang w:eastAsia="en-US"/>
        </w:rPr>
        <w:t>изирания период дали настъпилите промени в собствеността на капитала на участници в сектора имат траен характер. За тези от тях, за които установи, че са изпълнени кумулативно критериите на чл.22 и чл.24 от ЗЗК, Комисията в отделни производства ще оцени те</w:t>
      </w:r>
      <w:r>
        <w:rPr>
          <w:rFonts w:ascii="Times New Roman" w:hAnsi="Times New Roman"/>
          <w:sz w:val="26"/>
          <w:szCs w:val="26"/>
          <w:lang w:eastAsia="en-US"/>
        </w:rPr>
        <w:t xml:space="preserve">зи сделки и техния ефект върху конкуренцията на съответните пазари. </w:t>
      </w:r>
    </w:p>
    <w:p w:rsidR="00000000" w:rsidRDefault="003E498D">
      <w:pPr>
        <w:ind w:firstLine="708"/>
        <w:contextualSpacing/>
        <w:jc w:val="both"/>
        <w:rPr>
          <w:rFonts w:ascii="Times New Roman" w:hAnsi="Times New Roman"/>
          <w:sz w:val="26"/>
          <w:szCs w:val="26"/>
          <w:lang w:eastAsia="en-US"/>
        </w:rPr>
      </w:pPr>
      <w:r>
        <w:rPr>
          <w:rFonts w:ascii="Times New Roman" w:hAnsi="Times New Roman"/>
          <w:sz w:val="26"/>
          <w:szCs w:val="26"/>
          <w:lang w:eastAsia="en-US"/>
        </w:rPr>
        <w:t>Първоначално постъпилите сигнали, които дадоха повод Комисията да образува настоящия секторен анализ, съдържат информация за вероятни нелоялни търговски практики, свързани именно с разпро</w:t>
      </w:r>
      <w:r>
        <w:rPr>
          <w:rFonts w:ascii="Times New Roman" w:hAnsi="Times New Roman"/>
          <w:sz w:val="26"/>
          <w:szCs w:val="26"/>
          <w:lang w:eastAsia="en-US"/>
        </w:rPr>
        <w:t>странението на печата. Сигналът, подаден от „НАР“ ЕАД в КЗК (ВХР-1820/15.08.2011г.), съдържа твърдения за нарушения, извършени на конкретна дата (13.08.2011г.) от „Агенция Стрела“  ЕООД и изразяващи се в отказ от страна на Агенцията да достави на НАР ЕАД з</w:t>
      </w:r>
      <w:r>
        <w:rPr>
          <w:rFonts w:ascii="Times New Roman" w:hAnsi="Times New Roman"/>
          <w:sz w:val="26"/>
          <w:szCs w:val="26"/>
          <w:lang w:eastAsia="en-US"/>
        </w:rPr>
        <w:t>аявени тиражи от изданията на вестниците „24 часа“ и „Труд“ в различни  региони на страната, както и да разпространи вестниците „Телеграф“ и „Меридиан мач“, доставяни му по силата на договор с „НАР“ ЕАД в същите региони. От своя страна, в хода на анализа „</w:t>
      </w:r>
      <w:r>
        <w:rPr>
          <w:rFonts w:ascii="Times New Roman" w:hAnsi="Times New Roman"/>
          <w:sz w:val="26"/>
          <w:szCs w:val="26"/>
          <w:lang w:eastAsia="en-US"/>
        </w:rPr>
        <w:t>Агенция Стрела“ ЕООД изложи също твърдения, че не получава заявения от нея тираж на изданията, доставяни от  „НАР“ ЕАД, както и че това дружество отказва  сключването на договор за разпространението на тези издания („Монитор“, „Телеграф“, „Стандарт“, „Дума</w:t>
      </w:r>
      <w:r>
        <w:rPr>
          <w:rFonts w:ascii="Times New Roman" w:hAnsi="Times New Roman"/>
          <w:sz w:val="26"/>
          <w:szCs w:val="26"/>
          <w:lang w:eastAsia="en-US"/>
        </w:rPr>
        <w:t>“, „Меридиан мач“, „Новинар“ и други) с Агенцията. Както бе посочено, впоследствие, на 28.06.2013 г., между „НАР“ ЕАД и „Агенция Стрела“ ЕООД са сключени реципрочни договори, уреждащи покупко-продажбата и разпространението на всекидневници и периодични изд</w:t>
      </w:r>
      <w:r>
        <w:rPr>
          <w:rFonts w:ascii="Times New Roman" w:hAnsi="Times New Roman"/>
          <w:sz w:val="26"/>
          <w:szCs w:val="26"/>
          <w:lang w:eastAsia="en-US"/>
        </w:rPr>
        <w:t xml:space="preserve">ания. </w:t>
      </w:r>
    </w:p>
    <w:p w:rsidR="00000000" w:rsidRDefault="003E498D">
      <w:pPr>
        <w:ind w:firstLine="540"/>
        <w:contextualSpacing/>
        <w:jc w:val="both"/>
        <w:rPr>
          <w:rFonts w:ascii="Times New Roman" w:hAnsi="Times New Roman"/>
          <w:sz w:val="26"/>
          <w:szCs w:val="26"/>
          <w:lang w:eastAsia="en-US"/>
        </w:rPr>
      </w:pPr>
      <w:r>
        <w:rPr>
          <w:rFonts w:ascii="Times New Roman" w:hAnsi="Times New Roman"/>
          <w:sz w:val="26"/>
          <w:szCs w:val="26"/>
          <w:lang w:eastAsia="en-US"/>
        </w:rPr>
        <w:t>В становищата си анкетираните участници поставят редица други проблеми, които като цяло произтичат от липсата на достатъчно прозрачност и ясни правила за осъществяване на дейността в сектора, констатирани и от КЗК при извършване на секторния анализ.</w:t>
      </w:r>
      <w:r>
        <w:rPr>
          <w:rFonts w:ascii="Times New Roman" w:hAnsi="Times New Roman"/>
          <w:sz w:val="26"/>
          <w:szCs w:val="26"/>
          <w:lang w:eastAsia="en-US"/>
        </w:rPr>
        <w:t xml:space="preserve"> Проучването установи, че отношенията в сектора се осъществяват  изцяло на договорна основа и няма действаща нормативна рамка за тях, която да очертава граници на прилаганите търговски условия.  </w:t>
      </w:r>
    </w:p>
    <w:p w:rsidR="00000000" w:rsidRDefault="003E498D">
      <w:pPr>
        <w:ind w:firstLine="540"/>
        <w:contextualSpacing/>
        <w:jc w:val="both"/>
        <w:rPr>
          <w:rFonts w:ascii="Times New Roman" w:hAnsi="Times New Roman"/>
          <w:color w:val="FF0000"/>
          <w:sz w:val="26"/>
          <w:szCs w:val="26"/>
          <w:lang w:eastAsia="en-US"/>
        </w:rPr>
      </w:pPr>
      <w:r>
        <w:rPr>
          <w:rFonts w:ascii="Times New Roman" w:hAnsi="Times New Roman"/>
          <w:sz w:val="26"/>
          <w:szCs w:val="26"/>
          <w:lang w:eastAsia="en-US"/>
        </w:rPr>
        <w:t>В тази връзка, Комисията счита за необходимо да препоръча на</w:t>
      </w:r>
      <w:r>
        <w:rPr>
          <w:rFonts w:ascii="Times New Roman" w:hAnsi="Times New Roman"/>
          <w:sz w:val="26"/>
          <w:szCs w:val="26"/>
          <w:lang w:eastAsia="en-US"/>
        </w:rPr>
        <w:t xml:space="preserve"> компетентните държавни органи и на действащите браншови организации в сектора на издаване и разпространение на печатни издания стартиране на задълбочена дискусия, целяща въвеждане на подходящи мерки, законодателни </w:t>
      </w:r>
      <w:r>
        <w:rPr>
          <w:rFonts w:ascii="Times New Roman" w:hAnsi="Times New Roman"/>
          <w:sz w:val="26"/>
          <w:szCs w:val="26"/>
          <w:lang w:eastAsia="en-US"/>
        </w:rPr>
        <w:lastRenderedPageBreak/>
        <w:t>или под формата на саморегулация, с които</w:t>
      </w:r>
      <w:r>
        <w:rPr>
          <w:rFonts w:ascii="Times New Roman" w:hAnsi="Times New Roman"/>
          <w:sz w:val="26"/>
          <w:szCs w:val="26"/>
          <w:lang w:eastAsia="en-US"/>
        </w:rPr>
        <w:t xml:space="preserve"> да се преодолеят тези проблеми и да се стимулира развитието на конкуренцията в сектора. КЗК счита за уместно да се обсъдят някои от предложенията на издателите и разпространителите, като например: разработване на специализирана нормативна уредба, регламен</w:t>
      </w:r>
      <w:r>
        <w:rPr>
          <w:rFonts w:ascii="Times New Roman" w:hAnsi="Times New Roman"/>
          <w:sz w:val="26"/>
          <w:szCs w:val="26"/>
          <w:lang w:eastAsia="en-US"/>
        </w:rPr>
        <w:t>тираща дейностите по издаване и разпространение на печатни издания, както и отношенията по веригата издатели - разпространители на едро – разпространители на дребно на печатни издания, без да се засяга правото на свободна стопанска инициатива и при условие</w:t>
      </w:r>
      <w:r>
        <w:rPr>
          <w:rFonts w:ascii="Times New Roman" w:hAnsi="Times New Roman"/>
          <w:sz w:val="26"/>
          <w:szCs w:val="26"/>
          <w:lang w:eastAsia="en-US"/>
        </w:rPr>
        <w:t xml:space="preserve"> че не се въвежда прекомерна регулация в сектора; приемане и публикуване на Общи търговски условия за доставка и продажба на печатни издания при извършване на дейност от издател или разпространител; въвеждане на мерки за стриктна отчетност на доставените и</w:t>
      </w:r>
      <w:r>
        <w:rPr>
          <w:rFonts w:ascii="Times New Roman" w:hAnsi="Times New Roman"/>
          <w:sz w:val="26"/>
          <w:szCs w:val="26"/>
          <w:lang w:eastAsia="en-US"/>
        </w:rPr>
        <w:t xml:space="preserve"> реализирани тиражи, в т.ч. отчетност при продажбите чрез фискални устройства.</w:t>
      </w:r>
    </w:p>
    <w:p w:rsidR="00000000" w:rsidRDefault="003E498D">
      <w:pPr>
        <w:ind w:firstLine="540"/>
        <w:contextualSpacing/>
        <w:jc w:val="both"/>
        <w:rPr>
          <w:rFonts w:ascii="Times New Roman" w:hAnsi="Times New Roman"/>
          <w:color w:val="FF0000"/>
          <w:sz w:val="26"/>
          <w:szCs w:val="26"/>
          <w:lang w:eastAsia="en-US"/>
        </w:rPr>
      </w:pPr>
    </w:p>
    <w:p w:rsidR="00000000" w:rsidRDefault="003E498D">
      <w:pPr>
        <w:contextualSpacing/>
        <w:jc w:val="both"/>
        <w:rPr>
          <w:rFonts w:ascii="Times New Roman" w:hAnsi="Times New Roman"/>
          <w:sz w:val="26"/>
          <w:szCs w:val="26"/>
          <w:lang w:eastAsia="en-US"/>
        </w:rPr>
      </w:pPr>
      <w:r>
        <w:rPr>
          <w:rFonts w:ascii="Times New Roman" w:hAnsi="Times New Roman"/>
          <w:sz w:val="26"/>
          <w:szCs w:val="26"/>
          <w:lang w:val="en-US" w:eastAsia="en-US"/>
        </w:rPr>
        <w:t xml:space="preserve"> </w:t>
      </w:r>
      <w:r>
        <w:rPr>
          <w:rFonts w:ascii="Times New Roman" w:hAnsi="Times New Roman"/>
          <w:sz w:val="26"/>
          <w:szCs w:val="26"/>
          <w:lang w:eastAsia="en-US"/>
        </w:rPr>
        <w:tab/>
      </w:r>
      <w:r>
        <w:rPr>
          <w:rFonts w:ascii="Times New Roman" w:hAnsi="Times New Roman"/>
          <w:sz w:val="26"/>
          <w:szCs w:val="26"/>
          <w:lang w:eastAsia="en-US"/>
        </w:rPr>
        <w:t xml:space="preserve">Приложения №№ 1,2А,2Б,3,4,5,6 и 7 са неразделна част от решението. </w:t>
      </w:r>
    </w:p>
    <w:p w:rsidR="00000000" w:rsidRDefault="003E498D">
      <w:pPr>
        <w:spacing w:after="200" w:line="276" w:lineRule="auto"/>
        <w:jc w:val="both"/>
        <w:rPr>
          <w:rFonts w:ascii="Times New Roman" w:hAnsi="Times New Roman"/>
          <w:sz w:val="26"/>
          <w:szCs w:val="26"/>
          <w:lang w:eastAsia="en-US"/>
        </w:rPr>
      </w:pPr>
    </w:p>
    <w:p w:rsidR="00000000" w:rsidRDefault="003E498D">
      <w:pPr>
        <w:spacing w:after="200" w:line="276" w:lineRule="auto"/>
        <w:ind w:firstLine="708"/>
        <w:jc w:val="both"/>
        <w:rPr>
          <w:rFonts w:ascii="Times New Roman" w:hAnsi="Times New Roman"/>
          <w:sz w:val="26"/>
          <w:szCs w:val="26"/>
          <w:lang w:eastAsia="en-US"/>
        </w:rPr>
      </w:pPr>
      <w:r>
        <w:rPr>
          <w:rFonts w:ascii="Times New Roman" w:hAnsi="Times New Roman"/>
          <w:sz w:val="26"/>
          <w:szCs w:val="26"/>
          <w:lang w:eastAsia="en-US"/>
        </w:rPr>
        <w:t>Въз основа на гореизложеното и на основание чл. 91, ал.5, т.2 от ЗЗК, във връзка с чл. 60, ал.1, т.21, въ</w:t>
      </w:r>
      <w:r>
        <w:rPr>
          <w:rFonts w:ascii="Times New Roman" w:hAnsi="Times New Roman"/>
          <w:sz w:val="26"/>
          <w:szCs w:val="26"/>
          <w:lang w:eastAsia="en-US"/>
        </w:rPr>
        <w:t>в връзка с чл. 8, т.10 от ЗЗК, Комисията за защита на конкуренцията:</w:t>
      </w:r>
    </w:p>
    <w:p w:rsidR="00000000" w:rsidRDefault="003E498D">
      <w:pPr>
        <w:spacing w:after="200" w:line="276" w:lineRule="auto"/>
        <w:jc w:val="center"/>
        <w:rPr>
          <w:rFonts w:ascii="Times New Roman" w:hAnsi="Times New Roman"/>
          <w:sz w:val="26"/>
          <w:szCs w:val="26"/>
          <w:lang w:eastAsia="en-US"/>
        </w:rPr>
      </w:pPr>
      <w:r>
        <w:rPr>
          <w:rFonts w:ascii="Times New Roman" w:hAnsi="Times New Roman"/>
          <w:sz w:val="26"/>
          <w:szCs w:val="26"/>
          <w:lang w:eastAsia="en-US"/>
        </w:rPr>
        <w:t>Р  Е  Ш  И  :</w:t>
      </w:r>
    </w:p>
    <w:p w:rsidR="00000000" w:rsidRDefault="003E498D">
      <w:pPr>
        <w:pStyle w:val="NoSpacing"/>
        <w:ind w:firstLine="708"/>
        <w:jc w:val="both"/>
        <w:rPr>
          <w:rFonts w:ascii="Times New Roman" w:hAnsi="Times New Roman"/>
          <w:sz w:val="26"/>
          <w:szCs w:val="26"/>
        </w:rPr>
      </w:pPr>
      <w:r>
        <w:rPr>
          <w:rFonts w:ascii="Times New Roman" w:hAnsi="Times New Roman"/>
          <w:sz w:val="26"/>
          <w:szCs w:val="26"/>
        </w:rPr>
        <w:t>1. Приема Секторен анализ на конкурентната среда в сектора на разпространение на вестници и печатни издания;</w:t>
      </w:r>
    </w:p>
    <w:p w:rsidR="00000000" w:rsidRDefault="003E498D">
      <w:pPr>
        <w:pStyle w:val="NoSpacing"/>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rPr>
        <w:t>2. Информира Народното събрание, Министерство на финансите, На</w:t>
      </w:r>
      <w:r>
        <w:rPr>
          <w:rFonts w:ascii="Times New Roman" w:hAnsi="Times New Roman"/>
          <w:sz w:val="26"/>
          <w:szCs w:val="26"/>
        </w:rPr>
        <w:t>ционално сдружение на общините в Р. България, Съюз на издателите в България, Български медиен съюз и Българска асоциация на регионалните медии, съобразно тяхната компетентност, за евентуално предприемане на подходящи мерки за подобряване на конкурентната с</w:t>
      </w:r>
      <w:r>
        <w:rPr>
          <w:rFonts w:ascii="Times New Roman" w:hAnsi="Times New Roman"/>
          <w:sz w:val="26"/>
          <w:szCs w:val="26"/>
        </w:rPr>
        <w:t xml:space="preserve">реда. </w:t>
      </w:r>
    </w:p>
    <w:p w:rsidR="00000000" w:rsidRDefault="003E498D">
      <w:pPr>
        <w:spacing w:after="200" w:line="276" w:lineRule="auto"/>
        <w:ind w:firstLine="708"/>
        <w:rPr>
          <w:rFonts w:ascii="Times New Roman" w:hAnsi="Times New Roman"/>
          <w:sz w:val="26"/>
          <w:szCs w:val="26"/>
          <w:lang w:eastAsia="en-US"/>
        </w:rPr>
      </w:pPr>
    </w:p>
    <w:p w:rsidR="00000000" w:rsidRDefault="003E498D">
      <w:pPr>
        <w:spacing w:after="200" w:line="276" w:lineRule="auto"/>
        <w:ind w:firstLine="708"/>
        <w:rPr>
          <w:rFonts w:ascii="Times New Roman" w:hAnsi="Times New Roman"/>
          <w:sz w:val="26"/>
          <w:szCs w:val="26"/>
          <w:lang w:eastAsia="en-US"/>
        </w:rPr>
      </w:pPr>
      <w:r>
        <w:rPr>
          <w:rFonts w:ascii="Times New Roman" w:hAnsi="Times New Roman"/>
          <w:sz w:val="26"/>
          <w:szCs w:val="26"/>
          <w:lang w:eastAsia="en-US"/>
        </w:rPr>
        <w:t>Решението не подлежи на обжалване.</w:t>
      </w:r>
    </w:p>
    <w:p w:rsidR="00000000" w:rsidRDefault="003E498D">
      <w:pPr>
        <w:ind w:left="2124" w:firstLine="709"/>
        <w:contextualSpacing/>
        <w:jc w:val="both"/>
        <w:rPr>
          <w:rFonts w:ascii="Times New Roman" w:hAnsi="Times New Roman"/>
          <w:sz w:val="26"/>
          <w:szCs w:val="26"/>
          <w:lang w:eastAsia="en-US"/>
        </w:rPr>
      </w:pPr>
    </w:p>
    <w:p w:rsidR="00000000" w:rsidRDefault="003E498D">
      <w:pPr>
        <w:ind w:left="2124" w:firstLine="709"/>
        <w:contextualSpacing/>
        <w:jc w:val="both"/>
        <w:rPr>
          <w:rFonts w:ascii="Times New Roman" w:hAnsi="Times New Roman"/>
          <w:sz w:val="26"/>
          <w:szCs w:val="26"/>
          <w:lang w:eastAsia="en-US"/>
        </w:rPr>
      </w:pPr>
    </w:p>
    <w:p w:rsidR="00000000" w:rsidRDefault="003E498D">
      <w:pPr>
        <w:contextualSpacing/>
        <w:jc w:val="center"/>
        <w:rPr>
          <w:rFonts w:ascii="Times New Roman" w:hAnsi="Times New Roman"/>
          <w:b/>
          <w:sz w:val="26"/>
          <w:szCs w:val="26"/>
          <w:lang w:eastAsia="en-US"/>
        </w:rPr>
      </w:pPr>
      <w:r>
        <w:rPr>
          <w:rFonts w:ascii="Times New Roman" w:hAnsi="Times New Roman"/>
          <w:b/>
          <w:sz w:val="26"/>
          <w:szCs w:val="26"/>
          <w:lang w:eastAsia="en-US"/>
        </w:rPr>
        <w:t>ПРЕДСЕДАТЕЛ:</w:t>
      </w:r>
    </w:p>
    <w:p w:rsidR="00000000" w:rsidRDefault="003E498D">
      <w:pPr>
        <w:contextualSpacing/>
        <w:jc w:val="center"/>
        <w:rPr>
          <w:rFonts w:ascii="Times New Roman" w:hAnsi="Times New Roman"/>
          <w:sz w:val="26"/>
          <w:szCs w:val="26"/>
          <w:lang w:eastAsia="en-US"/>
        </w:rPr>
      </w:pPr>
    </w:p>
    <w:p w:rsidR="00000000" w:rsidRDefault="003E498D">
      <w:pPr>
        <w:contextualSpacing/>
        <w:jc w:val="center"/>
        <w:rPr>
          <w:rFonts w:ascii="Times New Roman" w:hAnsi="Times New Roman"/>
          <w:sz w:val="26"/>
          <w:szCs w:val="26"/>
          <w:lang w:eastAsia="en-US"/>
        </w:rPr>
      </w:pPr>
      <w:r>
        <w:rPr>
          <w:rFonts w:ascii="Times New Roman" w:hAnsi="Times New Roman"/>
          <w:sz w:val="26"/>
          <w:szCs w:val="26"/>
          <w:lang w:eastAsia="en-US"/>
        </w:rPr>
        <w:t>...........................................</w:t>
      </w:r>
    </w:p>
    <w:p w:rsidR="00000000" w:rsidRDefault="003E498D">
      <w:pPr>
        <w:contextualSpacing/>
        <w:jc w:val="center"/>
        <w:rPr>
          <w:rFonts w:ascii="Times New Roman" w:hAnsi="Times New Roman"/>
          <w:sz w:val="26"/>
          <w:szCs w:val="26"/>
          <w:lang w:eastAsia="en-US"/>
        </w:rPr>
      </w:pPr>
      <w:r>
        <w:rPr>
          <w:rFonts w:ascii="Times New Roman" w:hAnsi="Times New Roman"/>
          <w:sz w:val="26"/>
          <w:szCs w:val="26"/>
          <w:lang w:eastAsia="en-US"/>
        </w:rPr>
        <w:t>Петко Николов</w:t>
      </w:r>
    </w:p>
    <w:p w:rsidR="00000000" w:rsidRDefault="003E498D">
      <w:pPr>
        <w:ind w:left="2124" w:firstLine="709"/>
        <w:contextualSpacing/>
        <w:jc w:val="center"/>
        <w:rPr>
          <w:rFonts w:ascii="Times New Roman" w:hAnsi="Times New Roman"/>
          <w:sz w:val="26"/>
          <w:szCs w:val="26"/>
          <w:lang w:eastAsia="en-US"/>
        </w:rPr>
      </w:pPr>
    </w:p>
    <w:p w:rsidR="00000000" w:rsidRDefault="003E498D">
      <w:pPr>
        <w:contextualSpacing/>
        <w:jc w:val="center"/>
        <w:rPr>
          <w:rFonts w:ascii="Times New Roman" w:hAnsi="Times New Roman"/>
          <w:b/>
          <w:sz w:val="26"/>
          <w:szCs w:val="26"/>
          <w:lang w:eastAsia="en-US"/>
        </w:rPr>
      </w:pPr>
      <w:r>
        <w:rPr>
          <w:rFonts w:ascii="Times New Roman" w:hAnsi="Times New Roman"/>
          <w:b/>
          <w:sz w:val="26"/>
          <w:szCs w:val="26"/>
          <w:lang w:eastAsia="en-US"/>
        </w:rPr>
        <w:t>ЗАМ.-ПРЕДСЕДАТЕЛ :</w:t>
      </w:r>
    </w:p>
    <w:p w:rsidR="00000000" w:rsidRDefault="003E498D">
      <w:pPr>
        <w:ind w:left="2124" w:firstLine="709"/>
        <w:contextualSpacing/>
        <w:jc w:val="center"/>
        <w:rPr>
          <w:rFonts w:ascii="Times New Roman" w:hAnsi="Times New Roman"/>
          <w:sz w:val="26"/>
          <w:szCs w:val="26"/>
          <w:lang w:eastAsia="en-US"/>
        </w:rPr>
      </w:pPr>
    </w:p>
    <w:p w:rsidR="00000000" w:rsidRDefault="003E498D">
      <w:pPr>
        <w:contextualSpacing/>
        <w:jc w:val="center"/>
        <w:rPr>
          <w:rFonts w:ascii="Times New Roman" w:hAnsi="Times New Roman"/>
          <w:sz w:val="26"/>
          <w:szCs w:val="26"/>
          <w:lang w:eastAsia="en-US"/>
        </w:rPr>
      </w:pPr>
      <w:r>
        <w:rPr>
          <w:rFonts w:ascii="Times New Roman" w:hAnsi="Times New Roman"/>
          <w:sz w:val="26"/>
          <w:szCs w:val="26"/>
          <w:lang w:eastAsia="en-US"/>
        </w:rPr>
        <w:t>..........................................</w:t>
      </w:r>
    </w:p>
    <w:p w:rsidR="00000000" w:rsidRDefault="003E498D">
      <w:pPr>
        <w:ind w:left="2831" w:firstLine="709"/>
        <w:contextualSpacing/>
        <w:rPr>
          <w:rFonts w:ascii="Times New Roman" w:hAnsi="Times New Roman"/>
          <w:sz w:val="26"/>
          <w:szCs w:val="26"/>
          <w:lang w:eastAsia="en-US"/>
        </w:rPr>
      </w:pPr>
      <w:r>
        <w:rPr>
          <w:rFonts w:ascii="Times New Roman" w:hAnsi="Times New Roman"/>
          <w:sz w:val="26"/>
          <w:szCs w:val="26"/>
          <w:lang w:eastAsia="en-US"/>
        </w:rPr>
        <w:t>Ангелина Милева</w:t>
      </w:r>
    </w:p>
    <w:p w:rsidR="00000000" w:rsidRDefault="003E498D">
      <w:pPr>
        <w:ind w:left="2831" w:firstLine="709"/>
        <w:contextualSpacing/>
        <w:rPr>
          <w:rFonts w:ascii="Times New Roman" w:hAnsi="Times New Roman"/>
          <w:sz w:val="26"/>
          <w:szCs w:val="26"/>
          <w:lang w:eastAsia="en-US"/>
        </w:rPr>
      </w:pPr>
    </w:p>
    <w:p w:rsidR="00000000" w:rsidRDefault="003E498D">
      <w:pPr>
        <w:contextualSpacing/>
        <w:jc w:val="center"/>
        <w:rPr>
          <w:rFonts w:ascii="Times New Roman" w:hAnsi="Times New Roman"/>
          <w:sz w:val="26"/>
          <w:szCs w:val="26"/>
          <w:lang w:eastAsia="en-US"/>
        </w:rPr>
      </w:pPr>
      <w:r>
        <w:rPr>
          <w:rFonts w:ascii="Times New Roman" w:hAnsi="Times New Roman"/>
          <w:b/>
          <w:sz w:val="26"/>
          <w:szCs w:val="26"/>
          <w:lang w:eastAsia="en-US"/>
        </w:rPr>
        <w:t>ЧЛЕНОВЕ:</w:t>
      </w:r>
    </w:p>
    <w:p w:rsidR="00000000" w:rsidRDefault="003E498D">
      <w:pPr>
        <w:ind w:left="2124" w:firstLine="709"/>
        <w:contextualSpacing/>
        <w:jc w:val="center"/>
        <w:rPr>
          <w:rFonts w:ascii="Times New Roman" w:hAnsi="Times New Roman"/>
          <w:sz w:val="26"/>
          <w:szCs w:val="26"/>
          <w:lang w:eastAsia="en-US"/>
        </w:rPr>
      </w:pPr>
    </w:p>
    <w:p w:rsidR="00000000" w:rsidRDefault="003E498D">
      <w:pPr>
        <w:contextualSpacing/>
        <w:jc w:val="center"/>
        <w:rPr>
          <w:rFonts w:ascii="Times New Roman" w:hAnsi="Times New Roman"/>
          <w:sz w:val="26"/>
          <w:szCs w:val="26"/>
          <w:lang w:eastAsia="en-US"/>
        </w:rPr>
      </w:pPr>
      <w:r>
        <w:rPr>
          <w:rFonts w:ascii="Times New Roman" w:hAnsi="Times New Roman"/>
          <w:sz w:val="26"/>
          <w:szCs w:val="26"/>
          <w:lang w:eastAsia="en-US"/>
        </w:rPr>
        <w:t>…………………...</w:t>
      </w:r>
    </w:p>
    <w:p w:rsidR="00000000" w:rsidRDefault="003E498D">
      <w:pPr>
        <w:contextualSpacing/>
        <w:jc w:val="center"/>
        <w:rPr>
          <w:rFonts w:ascii="Times New Roman" w:hAnsi="Times New Roman"/>
          <w:sz w:val="26"/>
          <w:szCs w:val="26"/>
          <w:lang w:eastAsia="en-US"/>
        </w:rPr>
      </w:pPr>
      <w:r>
        <w:rPr>
          <w:rFonts w:ascii="Times New Roman" w:hAnsi="Times New Roman"/>
          <w:sz w:val="26"/>
          <w:szCs w:val="26"/>
          <w:lang w:eastAsia="en-US"/>
        </w:rPr>
        <w:t>Александър Александров</w:t>
      </w:r>
    </w:p>
    <w:p w:rsidR="00000000" w:rsidRDefault="003E498D">
      <w:pPr>
        <w:tabs>
          <w:tab w:val="left" w:pos="3915"/>
        </w:tabs>
        <w:ind w:left="2124" w:firstLine="709"/>
        <w:contextualSpacing/>
        <w:jc w:val="center"/>
        <w:rPr>
          <w:rFonts w:ascii="Times New Roman" w:hAnsi="Times New Roman"/>
          <w:sz w:val="26"/>
          <w:szCs w:val="26"/>
          <w:lang w:eastAsia="en-US"/>
        </w:rPr>
      </w:pPr>
    </w:p>
    <w:p w:rsidR="00000000" w:rsidRDefault="003E498D">
      <w:pPr>
        <w:contextualSpacing/>
        <w:jc w:val="center"/>
        <w:rPr>
          <w:rFonts w:ascii="Times New Roman" w:hAnsi="Times New Roman"/>
          <w:sz w:val="26"/>
          <w:szCs w:val="26"/>
          <w:lang w:eastAsia="en-US"/>
        </w:rPr>
      </w:pPr>
      <w:r>
        <w:rPr>
          <w:rFonts w:ascii="Times New Roman" w:hAnsi="Times New Roman"/>
          <w:sz w:val="26"/>
          <w:szCs w:val="26"/>
          <w:lang w:eastAsia="en-US"/>
        </w:rPr>
        <w:t>.............</w:t>
      </w:r>
      <w:r>
        <w:rPr>
          <w:rFonts w:ascii="Times New Roman" w:hAnsi="Times New Roman"/>
          <w:sz w:val="26"/>
          <w:szCs w:val="26"/>
          <w:lang w:eastAsia="en-US"/>
        </w:rPr>
        <w:t>........................</w:t>
      </w:r>
    </w:p>
    <w:p w:rsidR="00000000" w:rsidRDefault="003E498D">
      <w:pPr>
        <w:contextualSpacing/>
        <w:jc w:val="center"/>
        <w:rPr>
          <w:rFonts w:ascii="Times New Roman" w:hAnsi="Times New Roman"/>
          <w:sz w:val="26"/>
          <w:szCs w:val="26"/>
          <w:lang w:eastAsia="en-US"/>
        </w:rPr>
      </w:pPr>
      <w:r>
        <w:rPr>
          <w:rFonts w:ascii="Times New Roman" w:hAnsi="Times New Roman"/>
          <w:sz w:val="26"/>
          <w:szCs w:val="26"/>
          <w:lang w:eastAsia="en-US"/>
        </w:rPr>
        <w:t>Елена Димова</w:t>
      </w:r>
    </w:p>
    <w:p w:rsidR="00000000" w:rsidRDefault="003E498D">
      <w:pPr>
        <w:ind w:left="2124" w:firstLine="709"/>
        <w:contextualSpacing/>
        <w:jc w:val="center"/>
        <w:rPr>
          <w:rFonts w:ascii="Times New Roman" w:hAnsi="Times New Roman"/>
          <w:sz w:val="26"/>
          <w:szCs w:val="26"/>
          <w:lang w:eastAsia="en-US"/>
        </w:rPr>
      </w:pPr>
    </w:p>
    <w:p w:rsidR="00000000" w:rsidRDefault="003E498D">
      <w:pPr>
        <w:contextualSpacing/>
        <w:jc w:val="center"/>
        <w:rPr>
          <w:rFonts w:ascii="Times New Roman" w:hAnsi="Times New Roman"/>
          <w:sz w:val="26"/>
          <w:szCs w:val="26"/>
          <w:lang w:eastAsia="en-US"/>
        </w:rPr>
      </w:pPr>
      <w:r>
        <w:rPr>
          <w:rFonts w:ascii="Times New Roman" w:hAnsi="Times New Roman"/>
          <w:sz w:val="26"/>
          <w:szCs w:val="26"/>
          <w:lang w:eastAsia="en-US"/>
        </w:rPr>
        <w:t>............................</w:t>
      </w:r>
    </w:p>
    <w:p w:rsidR="00000000" w:rsidRDefault="003E498D">
      <w:pPr>
        <w:contextualSpacing/>
        <w:jc w:val="center"/>
        <w:rPr>
          <w:rFonts w:ascii="Times New Roman" w:hAnsi="Times New Roman"/>
          <w:sz w:val="26"/>
          <w:szCs w:val="26"/>
          <w:lang w:eastAsia="en-US"/>
        </w:rPr>
      </w:pPr>
      <w:r>
        <w:rPr>
          <w:rFonts w:ascii="Times New Roman" w:hAnsi="Times New Roman"/>
          <w:sz w:val="26"/>
          <w:szCs w:val="26"/>
          <w:lang w:eastAsia="en-US"/>
        </w:rPr>
        <w:t>Зорница Иванова</w:t>
      </w:r>
    </w:p>
    <w:p w:rsidR="00000000" w:rsidRDefault="003E498D">
      <w:pPr>
        <w:ind w:left="2124" w:firstLine="709"/>
        <w:contextualSpacing/>
        <w:jc w:val="center"/>
        <w:rPr>
          <w:rFonts w:ascii="Times New Roman" w:hAnsi="Times New Roman"/>
          <w:sz w:val="26"/>
          <w:szCs w:val="26"/>
          <w:lang w:eastAsia="en-US"/>
        </w:rPr>
      </w:pPr>
    </w:p>
    <w:p w:rsidR="00000000" w:rsidRDefault="003E498D">
      <w:pPr>
        <w:contextualSpacing/>
        <w:jc w:val="center"/>
        <w:rPr>
          <w:rFonts w:ascii="Times New Roman" w:hAnsi="Times New Roman"/>
          <w:sz w:val="26"/>
          <w:szCs w:val="26"/>
          <w:lang w:eastAsia="en-US"/>
        </w:rPr>
      </w:pPr>
      <w:r>
        <w:rPr>
          <w:rFonts w:ascii="Times New Roman" w:hAnsi="Times New Roman"/>
          <w:sz w:val="26"/>
          <w:szCs w:val="26"/>
          <w:lang w:eastAsia="en-US"/>
        </w:rPr>
        <w:t>..............................</w:t>
      </w:r>
    </w:p>
    <w:p w:rsidR="00000000" w:rsidRDefault="003E498D">
      <w:pPr>
        <w:contextualSpacing/>
        <w:jc w:val="center"/>
        <w:rPr>
          <w:rFonts w:ascii="Times New Roman" w:hAnsi="Times New Roman"/>
          <w:sz w:val="26"/>
          <w:szCs w:val="26"/>
          <w:lang w:eastAsia="en-US"/>
        </w:rPr>
      </w:pPr>
      <w:r>
        <w:rPr>
          <w:rFonts w:ascii="Times New Roman" w:hAnsi="Times New Roman"/>
          <w:sz w:val="26"/>
          <w:szCs w:val="26"/>
          <w:lang w:eastAsia="en-US"/>
        </w:rPr>
        <w:t>Петя Велчева</w:t>
      </w:r>
    </w:p>
    <w:p w:rsidR="00000000" w:rsidRDefault="003E498D">
      <w:pPr>
        <w:contextualSpacing/>
        <w:jc w:val="both"/>
        <w:rPr>
          <w:rFonts w:ascii="Times New Roman" w:hAnsi="Times New Roman"/>
          <w:sz w:val="26"/>
          <w:szCs w:val="26"/>
          <w:lang w:val="en-US"/>
        </w:rPr>
      </w:pPr>
    </w:p>
    <w:tbl>
      <w:tblPr>
        <w:tblW w:w="0" w:type="auto"/>
        <w:tblInd w:w="-885" w:type="dxa"/>
        <w:tblLayout w:type="fixed"/>
        <w:tblLook w:val="0000" w:firstRow="0" w:lastRow="0" w:firstColumn="0" w:lastColumn="0" w:noHBand="0" w:noVBand="0"/>
      </w:tblPr>
      <w:tblGrid>
        <w:gridCol w:w="11058"/>
      </w:tblGrid>
      <w:tr w:rsidR="00000000">
        <w:tc>
          <w:tcPr>
            <w:tcW w:w="11058" w:type="dxa"/>
          </w:tcPr>
          <w:p w:rsidR="00000000" w:rsidRDefault="003E498D">
            <w:pPr>
              <w:jc w:val="center"/>
            </w:pPr>
            <w:r>
              <w:object w:dxaOrig="12210" w:dyaOrig="7214">
                <v:shape id="_x0000_i1055" type="#_x0000_t75" style="width:381.75pt;height:225.75pt;mso-wrap-style:square;mso-position-horizontal-relative:page;mso-position-vertical-relative:page" o:ole="">
                  <v:imagedata r:id="rId69" o:title=""/>
                </v:shape>
                <o:OLEObject Type="Embed" ProgID="PBrush" ShapeID="_x0000_i1055" DrawAspect="Content" ObjectID="_1448021992" r:id="rId70"/>
              </w:object>
            </w:r>
          </w:p>
        </w:tc>
      </w:tr>
      <w:tr w:rsidR="00000000">
        <w:tc>
          <w:tcPr>
            <w:tcW w:w="11058" w:type="dxa"/>
          </w:tcPr>
          <w:p w:rsidR="00000000" w:rsidRDefault="003E498D"/>
        </w:tc>
      </w:tr>
      <w:tr w:rsidR="00000000">
        <w:tc>
          <w:tcPr>
            <w:tcW w:w="11058" w:type="dxa"/>
          </w:tcPr>
          <w:p w:rsidR="00000000" w:rsidRDefault="003E498D">
            <w:r>
              <w:object w:dxaOrig="20984" w:dyaOrig="14020">
                <v:shape id="_x0000_i1056" type="#_x0000_t75" style="width:529.5pt;height:459pt;mso-wrap-style:square;mso-position-horizontal-relative:page;mso-position-vertical-relative:page" o:ole="">
                  <v:imagedata r:id="rId71" o:title=""/>
                </v:shape>
                <o:OLEObject Type="Embed" ProgID="PBrush" ShapeID="_x0000_i1056" DrawAspect="Content" ObjectID="_1448021993" r:id="rId72"/>
              </w:object>
            </w:r>
          </w:p>
        </w:tc>
      </w:tr>
      <w:tr w:rsidR="00000000">
        <w:tc>
          <w:tcPr>
            <w:tcW w:w="11058" w:type="dxa"/>
          </w:tcPr>
          <w:p w:rsidR="00000000" w:rsidRDefault="003E498D">
            <w:pPr>
              <w:jc w:val="center"/>
            </w:pPr>
            <w:r>
              <w:object w:dxaOrig="12435" w:dyaOrig="4521">
                <v:shape id="_x0000_i1057" type="#_x0000_t75" style="width:453pt;height:164.25pt;mso-wrap-style:square;mso-position-horizontal-relative:page;mso-position-vertical-relative:page" o:ole="">
                  <v:imagedata r:id="rId73" o:title=""/>
                </v:shape>
                <o:OLEObject Type="Embed" ProgID="PBrush" ShapeID="_x0000_i1057" DrawAspect="Content" ObjectID="_1448021994" r:id="rId74"/>
              </w:object>
            </w:r>
          </w:p>
        </w:tc>
      </w:tr>
      <w:tr w:rsidR="00000000">
        <w:tc>
          <w:tcPr>
            <w:tcW w:w="11058" w:type="dxa"/>
          </w:tcPr>
          <w:p w:rsidR="00000000" w:rsidRDefault="003E498D"/>
        </w:tc>
      </w:tr>
      <w:tr w:rsidR="00000000">
        <w:tc>
          <w:tcPr>
            <w:tcW w:w="11058" w:type="dxa"/>
          </w:tcPr>
          <w:p w:rsidR="00000000" w:rsidRDefault="003E498D">
            <w:pPr>
              <w:jc w:val="center"/>
            </w:pPr>
            <w:r>
              <w:object w:dxaOrig="13160" w:dyaOrig="11625">
                <v:shape id="_x0000_i1058" type="#_x0000_t75" style="width:453pt;height:401.25pt;mso-wrap-style:square;mso-position-horizontal-relative:page;mso-position-vertical-relative:page" o:ole="">
                  <v:imagedata r:id="rId75" o:title=""/>
                </v:shape>
                <o:OLEObject Type="Embed" ProgID="PBrush" ShapeID="_x0000_i1058" DrawAspect="Content" ObjectID="_1448021995" r:id="rId76"/>
              </w:object>
            </w:r>
          </w:p>
        </w:tc>
      </w:tr>
      <w:tr w:rsidR="00000000">
        <w:tc>
          <w:tcPr>
            <w:tcW w:w="11058" w:type="dxa"/>
          </w:tcPr>
          <w:p w:rsidR="00000000" w:rsidRDefault="003E498D">
            <w:pPr>
              <w:rPr>
                <w:rFonts w:ascii="Times New Roman" w:eastAsia="Times New Roman" w:hAnsi="Times New Roman"/>
                <w:b/>
                <w:bCs/>
                <w:color w:val="000000"/>
                <w:sz w:val="22"/>
                <w:szCs w:val="22"/>
              </w:rPr>
            </w:pPr>
          </w:p>
          <w:p w:rsidR="00000000" w:rsidRDefault="003E498D">
            <w:pPr>
              <w:jc w:val="center"/>
              <w:rPr>
                <w:rFonts w:ascii="Times New Roman" w:hAnsi="Times New Roman"/>
                <w:b/>
                <w:sz w:val="22"/>
                <w:szCs w:val="22"/>
              </w:rPr>
            </w:pPr>
            <w:r>
              <w:rPr>
                <w:rFonts w:ascii="Times New Roman" w:eastAsia="Times New Roman" w:hAnsi="Times New Roman"/>
                <w:b/>
                <w:bCs/>
                <w:color w:val="000000"/>
                <w:sz w:val="22"/>
                <w:szCs w:val="22"/>
              </w:rPr>
              <w:t xml:space="preserve">ПРИЛОЖЕНИЕ № 4 </w:t>
            </w:r>
            <w:r>
              <w:rPr>
                <w:rFonts w:ascii="Times New Roman" w:hAnsi="Times New Roman"/>
                <w:b/>
                <w:sz w:val="22"/>
                <w:szCs w:val="22"/>
              </w:rPr>
              <w:t>(...)</w:t>
            </w:r>
            <w:r>
              <w:rPr>
                <w:rFonts w:ascii="Times New Roman" w:hAnsi="Times New Roman"/>
                <w:b/>
                <w:sz w:val="22"/>
                <w:szCs w:val="22"/>
              </w:rPr>
              <w:sym w:font="Symbol" w:char="F02A"/>
            </w:r>
          </w:p>
          <w:p w:rsidR="00000000" w:rsidRDefault="003E498D">
            <w:pPr>
              <w:jc w:val="center"/>
              <w:rPr>
                <w:rFonts w:ascii="Times New Roman" w:eastAsia="Times New Roman" w:hAnsi="Times New Roman"/>
                <w:b/>
                <w:bCs/>
                <w:color w:val="000000"/>
                <w:sz w:val="22"/>
                <w:szCs w:val="22"/>
              </w:rPr>
            </w:pPr>
          </w:p>
          <w:p w:rsidR="00000000" w:rsidRDefault="003E498D">
            <w:pPr>
              <w:jc w:val="center"/>
            </w:pPr>
            <w:r>
              <w:rPr>
                <w:rFonts w:ascii="Times New Roman" w:eastAsia="Times New Roman" w:hAnsi="Times New Roman"/>
                <w:b/>
                <w:bCs/>
                <w:color w:val="000000"/>
                <w:sz w:val="22"/>
                <w:szCs w:val="22"/>
              </w:rPr>
              <w:t>ПРИЛОЖЕНИЕ № 5</w:t>
            </w:r>
            <w:r>
              <w:rPr>
                <w:rFonts w:ascii="Times New Roman" w:eastAsia="Times New Roman" w:hAnsi="Times New Roman"/>
                <w:b/>
                <w:bCs/>
                <w:color w:val="000000"/>
                <w:sz w:val="22"/>
                <w:szCs w:val="22"/>
              </w:rPr>
              <w:t xml:space="preserve"> </w:t>
            </w:r>
            <w:r>
              <w:rPr>
                <w:rFonts w:ascii="Times New Roman" w:hAnsi="Times New Roman"/>
                <w:b/>
                <w:sz w:val="22"/>
                <w:szCs w:val="22"/>
              </w:rPr>
              <w:t>(...)</w:t>
            </w:r>
            <w:r>
              <w:rPr>
                <w:rFonts w:ascii="Times New Roman" w:hAnsi="Times New Roman"/>
                <w:b/>
                <w:sz w:val="22"/>
                <w:szCs w:val="22"/>
              </w:rPr>
              <w:sym w:font="Symbol" w:char="F02A"/>
            </w:r>
          </w:p>
        </w:tc>
      </w:tr>
      <w:tr w:rsidR="00000000">
        <w:tc>
          <w:tcPr>
            <w:tcW w:w="11058" w:type="dxa"/>
          </w:tcPr>
          <w:p w:rsidR="00000000" w:rsidRDefault="003E498D">
            <w:r>
              <w:object w:dxaOrig="27132" w:dyaOrig="12625">
                <v:shape id="_x0000_i1059" type="#_x0000_t75" style="width:535.5pt;height:342pt;mso-wrap-style:square;mso-position-horizontal-relative:page;mso-position-vertical-relative:page" o:ole="">
                  <v:imagedata r:id="rId77" o:title=""/>
                </v:shape>
                <o:OLEObject Type="Embed" ProgID="PBrush" ShapeID="_x0000_i1059" DrawAspect="Content" ObjectID="_1448021996" r:id="rId78"/>
              </w:object>
            </w:r>
          </w:p>
        </w:tc>
      </w:tr>
      <w:tr w:rsidR="00000000">
        <w:tc>
          <w:tcPr>
            <w:tcW w:w="11058" w:type="dxa"/>
          </w:tcPr>
          <w:p w:rsidR="00000000" w:rsidRDefault="003E498D"/>
        </w:tc>
      </w:tr>
      <w:tr w:rsidR="00000000">
        <w:tc>
          <w:tcPr>
            <w:tcW w:w="11058" w:type="dxa"/>
          </w:tcPr>
          <w:p w:rsidR="00000000" w:rsidRDefault="003E498D">
            <w:r>
              <w:object w:dxaOrig="25993" w:dyaOrig="8116">
                <v:shape id="_x0000_i1060" type="#_x0000_t75" style="width:539.25pt;height:228pt;mso-wrap-style:square;mso-position-horizontal-relative:page;mso-position-vertical-relative:page" o:ole="">
                  <v:imagedata r:id="rId79" o:title=""/>
                </v:shape>
                <o:OLEObject Type="Embed" ProgID="PBrush" ShapeID="_x0000_i1060" DrawAspect="Content" ObjectID="_1448021997" r:id="rId80"/>
              </w:object>
            </w:r>
          </w:p>
        </w:tc>
      </w:tr>
      <w:tr w:rsidR="00000000">
        <w:tc>
          <w:tcPr>
            <w:tcW w:w="11058" w:type="dxa"/>
          </w:tcPr>
          <w:p w:rsidR="00000000" w:rsidRDefault="003E498D">
            <w:pPr>
              <w:jc w:val="center"/>
            </w:pPr>
          </w:p>
        </w:tc>
      </w:tr>
      <w:tr w:rsidR="00000000">
        <w:tc>
          <w:tcPr>
            <w:tcW w:w="11058" w:type="dxa"/>
          </w:tcPr>
          <w:p w:rsidR="00000000" w:rsidRDefault="003E498D">
            <w:pPr>
              <w:jc w:val="center"/>
            </w:pPr>
          </w:p>
        </w:tc>
      </w:tr>
      <w:tr w:rsidR="00000000">
        <w:tc>
          <w:tcPr>
            <w:tcW w:w="11058" w:type="dxa"/>
          </w:tcPr>
          <w:p w:rsidR="00000000" w:rsidRDefault="003E498D">
            <w:pPr>
              <w:jc w:val="center"/>
            </w:pPr>
          </w:p>
        </w:tc>
      </w:tr>
      <w:tr w:rsidR="00000000">
        <w:tc>
          <w:tcPr>
            <w:tcW w:w="11058" w:type="dxa"/>
          </w:tcPr>
          <w:p w:rsidR="00000000" w:rsidRDefault="003E498D">
            <w:pPr>
              <w:jc w:val="center"/>
            </w:pPr>
          </w:p>
        </w:tc>
      </w:tr>
      <w:tr w:rsidR="00000000">
        <w:tc>
          <w:tcPr>
            <w:tcW w:w="11058" w:type="dxa"/>
          </w:tcPr>
          <w:p w:rsidR="00000000" w:rsidRDefault="003E498D">
            <w:pPr>
              <w:jc w:val="center"/>
            </w:pPr>
          </w:p>
        </w:tc>
      </w:tr>
      <w:tr w:rsidR="00000000">
        <w:tc>
          <w:tcPr>
            <w:tcW w:w="11058" w:type="dxa"/>
          </w:tcPr>
          <w:p w:rsidR="00000000" w:rsidRDefault="003E498D">
            <w:pPr>
              <w:jc w:val="center"/>
            </w:pPr>
          </w:p>
        </w:tc>
      </w:tr>
      <w:tr w:rsidR="00000000">
        <w:tc>
          <w:tcPr>
            <w:tcW w:w="11058" w:type="dxa"/>
          </w:tcPr>
          <w:p w:rsidR="00000000" w:rsidRDefault="003E498D">
            <w:pPr>
              <w:jc w:val="center"/>
            </w:pPr>
          </w:p>
        </w:tc>
      </w:tr>
      <w:tr w:rsidR="00000000">
        <w:tc>
          <w:tcPr>
            <w:tcW w:w="11058" w:type="dxa"/>
          </w:tcPr>
          <w:p w:rsidR="00000000" w:rsidRDefault="003E498D">
            <w:pPr>
              <w:jc w:val="center"/>
            </w:pPr>
          </w:p>
        </w:tc>
      </w:tr>
      <w:tr w:rsidR="00000000">
        <w:tc>
          <w:tcPr>
            <w:tcW w:w="11058" w:type="dxa"/>
          </w:tcPr>
          <w:p w:rsidR="00000000" w:rsidRDefault="003E498D">
            <w:pPr>
              <w:jc w:val="center"/>
            </w:pPr>
          </w:p>
        </w:tc>
      </w:tr>
    </w:tbl>
    <w:p w:rsidR="003E498D" w:rsidRDefault="003E498D">
      <w:pPr>
        <w:contextualSpacing/>
        <w:jc w:val="both"/>
        <w:rPr>
          <w:rFonts w:ascii="Times New Roman" w:hAnsi="Times New Roman"/>
          <w:sz w:val="26"/>
          <w:szCs w:val="26"/>
          <w:lang w:val="en-US"/>
        </w:rPr>
      </w:pPr>
    </w:p>
    <w:sectPr w:rsidR="003E498D">
      <w:footerReference w:type="default" r:id="rId8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8D" w:rsidRDefault="003E498D">
      <w:r>
        <w:separator/>
      </w:r>
    </w:p>
  </w:endnote>
  <w:endnote w:type="continuationSeparator" w:id="0">
    <w:p w:rsidR="003E498D" w:rsidRDefault="003E4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Arial"/>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ヒラギノ角ゴ Pro W3">
    <w:altName w:val="MS Mincho"/>
    <w:charset w:val="80"/>
    <w:family w:val="auto"/>
    <w:pitch w:val="default"/>
    <w:sig w:usb0="00000000"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3E498D">
    <w:pPr>
      <w:pStyle w:val="Footer"/>
      <w:jc w:val="right"/>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AF74EA" w:rsidRPr="00AF74EA">
      <w:rPr>
        <w:rFonts w:ascii="Times New Roman" w:hAnsi="Times New Roman"/>
        <w:noProof/>
        <w:sz w:val="24"/>
        <w:szCs w:val="24"/>
        <w:lang w:val="en-US" w:eastAsia="en-US"/>
      </w:rPr>
      <w:t>2</w:t>
    </w:r>
    <w:r>
      <w:rPr>
        <w:rFonts w:ascii="Times New Roman" w:hAnsi="Times New Roman"/>
        <w:sz w:val="24"/>
        <w:szCs w:val="24"/>
        <w:lang w:val="en-US" w:eastAsia="en-US"/>
      </w:rPr>
      <w:fldChar w:fldCharType="end"/>
    </w:r>
  </w:p>
  <w:p w:rsidR="00000000" w:rsidRDefault="003E49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8D" w:rsidRDefault="003E498D">
      <w:r>
        <w:separator/>
      </w:r>
    </w:p>
  </w:footnote>
  <w:footnote w:type="continuationSeparator" w:id="0">
    <w:p w:rsidR="003E498D" w:rsidRDefault="003E498D">
      <w:r>
        <w:continuationSeparator/>
      </w:r>
    </w:p>
  </w:footnote>
  <w:footnote w:id="1">
    <w:p w:rsidR="00000000" w:rsidRDefault="003E498D">
      <w:pPr>
        <w:pStyle w:val="FootnoteText"/>
        <w:contextualSpacing/>
        <w:rPr>
          <w:rFonts w:ascii="Times New Roman" w:hAnsi="Times New Roman"/>
        </w:rPr>
      </w:pPr>
      <w:r>
        <w:rPr>
          <w:rStyle w:val="FootnoteReference"/>
          <w:rFonts w:ascii="Times New Roman" w:hAnsi="Times New Roman"/>
        </w:rPr>
        <w:footnoteRef/>
      </w:r>
      <w:r>
        <w:rPr>
          <w:rFonts w:ascii="Times New Roman" w:hAnsi="Times New Roman"/>
        </w:rPr>
        <w:t xml:space="preserve"> Писмото е върнато с бележка – пратката не е потърсена от получателя</w:t>
      </w:r>
    </w:p>
  </w:footnote>
  <w:footnote w:id="2">
    <w:p w:rsidR="00000000" w:rsidRDefault="003E498D">
      <w:pPr>
        <w:pStyle w:val="FootnoteText"/>
        <w:contextualSpacing/>
        <w:rPr>
          <w:rFonts w:ascii="Times New Roman" w:hAnsi="Times New Roman"/>
        </w:rPr>
      </w:pPr>
      <w:r>
        <w:rPr>
          <w:rStyle w:val="FootnoteReference"/>
          <w:rFonts w:ascii="Times New Roman" w:hAnsi="Times New Roman"/>
        </w:rPr>
        <w:footnoteRef/>
      </w:r>
      <w:r>
        <w:rPr>
          <w:rFonts w:ascii="Times New Roman" w:hAnsi="Times New Roman"/>
        </w:rPr>
        <w:t xml:space="preserve"> Писмото е върнато с бележка – пратката не е потърсена от получателя</w:t>
      </w:r>
    </w:p>
  </w:footnote>
  <w:footnote w:id="3">
    <w:p w:rsidR="00000000" w:rsidRDefault="003E498D">
      <w:pPr>
        <w:pStyle w:val="FootnoteText"/>
        <w:contextualSpacing/>
        <w:rPr>
          <w:rFonts w:ascii="Times New Roman" w:hAnsi="Times New Roman"/>
        </w:rPr>
      </w:pPr>
      <w:r>
        <w:rPr>
          <w:rStyle w:val="FootnoteReference"/>
          <w:rFonts w:ascii="Times New Roman" w:hAnsi="Times New Roman"/>
        </w:rPr>
        <w:footnoteRef/>
      </w:r>
      <w:r>
        <w:rPr>
          <w:rFonts w:ascii="Times New Roman" w:hAnsi="Times New Roman"/>
        </w:rPr>
        <w:t xml:space="preserve"> Писмото  е върнато с бележка – получателят</w:t>
      </w:r>
      <w:r>
        <w:rPr>
          <w:rFonts w:ascii="Times New Roman" w:hAnsi="Times New Roman"/>
        </w:rPr>
        <w:t xml:space="preserve"> се е преместил на друг адрес</w:t>
      </w:r>
    </w:p>
  </w:footnote>
  <w:footnote w:id="4">
    <w:p w:rsidR="00000000" w:rsidRDefault="003E498D">
      <w:pPr>
        <w:pStyle w:val="FootnoteText"/>
        <w:contextualSpacing/>
        <w:rPr>
          <w:rFonts w:ascii="Times New Roman" w:hAnsi="Times New Roman"/>
        </w:rPr>
      </w:pPr>
      <w:r>
        <w:rPr>
          <w:rStyle w:val="FootnoteReference"/>
          <w:rFonts w:ascii="Times New Roman" w:hAnsi="Times New Roman"/>
        </w:rPr>
        <w:footnoteRef/>
      </w:r>
      <w:r>
        <w:rPr>
          <w:rFonts w:ascii="Times New Roman" w:hAnsi="Times New Roman"/>
        </w:rPr>
        <w:t xml:space="preserve"> Дружеството вече не осъществява такава дейност</w:t>
      </w:r>
    </w:p>
  </w:footnote>
  <w:footnote w:id="5">
    <w:p w:rsidR="00000000" w:rsidRDefault="003E498D">
      <w:pPr>
        <w:pStyle w:val="FootnoteText"/>
        <w:contextualSpacing/>
      </w:pPr>
      <w:r>
        <w:rPr>
          <w:rStyle w:val="FootnoteReference"/>
          <w:rFonts w:ascii="Times New Roman" w:hAnsi="Times New Roman"/>
        </w:rPr>
        <w:footnoteRef/>
      </w:r>
      <w:r>
        <w:rPr>
          <w:rFonts w:ascii="Times New Roman" w:hAnsi="Times New Roman"/>
        </w:rPr>
        <w:t xml:space="preserve"> Дружеството е изпратило отговор единствено по извършеното предварително проучване на КЗК, преди образуването на производство за извършване на секторния анализ</w:t>
      </w:r>
    </w:p>
  </w:footnote>
  <w:footnote w:id="6">
    <w:p w:rsidR="00000000" w:rsidRDefault="003E498D">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НСИ осигурява </w:t>
      </w:r>
      <w:r>
        <w:rPr>
          <w:rFonts w:ascii="Times New Roman" w:hAnsi="Times New Roman"/>
        </w:rPr>
        <w:t>информация за издадените вестници и списания, като използва данните на Националната библиотека „Св.Св.Кирил и Методий“.</w:t>
      </w:r>
    </w:p>
    <w:p w:rsidR="00000000" w:rsidRDefault="003E498D">
      <w:pPr>
        <w:pStyle w:val="FootnoteText"/>
        <w:jc w:val="both"/>
        <w:rPr>
          <w:rFonts w:ascii="Times New Roman" w:hAnsi="Times New Roman"/>
          <w:sz w:val="16"/>
          <w:szCs w:val="16"/>
        </w:rPr>
      </w:pPr>
    </w:p>
  </w:footnote>
  <w:footnote w:id="7">
    <w:p w:rsidR="00000000" w:rsidRDefault="003E498D">
      <w:pPr>
        <w:pStyle w:val="FootnoteText"/>
        <w:rPr>
          <w:rFonts w:ascii="Times New Roman" w:hAnsi="Times New Roman"/>
          <w:color w:val="4F81BD"/>
        </w:rPr>
      </w:pPr>
      <w:r>
        <w:rPr>
          <w:rStyle w:val="FootnoteReference"/>
          <w:rFonts w:ascii="Times New Roman" w:hAnsi="Times New Roman"/>
        </w:rPr>
        <w:footnoteRef/>
      </w:r>
      <w:r>
        <w:rPr>
          <w:rFonts w:ascii="Times New Roman" w:hAnsi="Times New Roman"/>
        </w:rPr>
        <w:t xml:space="preserve"> Решение № 205/2005 г.; Р. № 375/2007 г.; Р. № 253/2008 г.; (ЕК -  М.423; М. 1455; М. 1528, М.1538; М.3817)</w:t>
      </w:r>
    </w:p>
  </w:footnote>
  <w:footnote w:id="8">
    <w:p w:rsidR="00000000" w:rsidRDefault="003E498D">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Решение № 205/2005 г. (К</w:t>
      </w:r>
      <w:r>
        <w:rPr>
          <w:rFonts w:ascii="Times New Roman" w:hAnsi="Times New Roman"/>
        </w:rPr>
        <w:t>ЗК-132/2005 г.)</w:t>
      </w:r>
    </w:p>
  </w:footnote>
  <w:footnote w:id="9">
    <w:p w:rsidR="00000000" w:rsidRDefault="003E498D">
      <w:pPr>
        <w:pStyle w:val="FootnoteText"/>
        <w:rPr>
          <w:rFonts w:ascii="Times New Roman" w:hAnsi="Times New Roman"/>
          <w:sz w:val="16"/>
          <w:szCs w:val="16"/>
        </w:rPr>
      </w:pPr>
      <w:r>
        <w:rPr>
          <w:rStyle w:val="FootnoteReference"/>
          <w:rFonts w:ascii="Times New Roman" w:hAnsi="Times New Roman"/>
        </w:rPr>
        <w:footnoteRef/>
      </w:r>
      <w:r>
        <w:rPr>
          <w:rFonts w:ascii="Times New Roman" w:hAnsi="Times New Roman"/>
        </w:rPr>
        <w:t xml:space="preserve"> Решение на ВАС № 11285/2005 г. (тричленен състав) и Решение на ВАС  № 7959/2006 г. (петчленен състав)</w:t>
      </w:r>
    </w:p>
  </w:footnote>
  <w:footnote w:id="10">
    <w:p w:rsidR="00000000" w:rsidRDefault="003E498D">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Решения на  ЕК – М.423; М. 3817 </w:t>
      </w:r>
    </w:p>
  </w:footnote>
  <w:footnote w:id="11">
    <w:p w:rsidR="00000000" w:rsidRDefault="003E498D">
      <w:pPr>
        <w:pStyle w:val="NoSpacing"/>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но не и на други разпространители </w:t>
      </w:r>
    </w:p>
  </w:footnote>
  <w:footnote w:id="12">
    <w:p w:rsidR="00000000" w:rsidRDefault="003E498D">
      <w:pPr>
        <w:pStyle w:val="NoSpacing"/>
        <w:rPr>
          <w:rFonts w:ascii="Times New Roman" w:hAnsi="Times New Roman"/>
          <w:sz w:val="16"/>
          <w:szCs w:val="16"/>
        </w:rPr>
      </w:pPr>
      <w:r>
        <w:rPr>
          <w:rStyle w:val="FootnoteReference"/>
          <w:rFonts w:ascii="Times New Roman" w:hAnsi="Times New Roman"/>
          <w:sz w:val="20"/>
          <w:szCs w:val="20"/>
        </w:rPr>
        <w:footnoteRef/>
      </w:r>
      <w:r>
        <w:rPr>
          <w:rFonts w:ascii="Times New Roman" w:hAnsi="Times New Roman"/>
          <w:sz w:val="20"/>
          <w:szCs w:val="20"/>
        </w:rPr>
        <w:t xml:space="preserve"> Дружеството посочва, че в частни случаи купува издания и от тъ</w:t>
      </w:r>
      <w:r>
        <w:rPr>
          <w:rFonts w:ascii="Times New Roman" w:hAnsi="Times New Roman"/>
          <w:sz w:val="20"/>
          <w:szCs w:val="20"/>
        </w:rPr>
        <w:t>рговци на едро.</w:t>
      </w:r>
    </w:p>
  </w:footnote>
  <w:footnote w:id="13">
    <w:p w:rsidR="00000000" w:rsidRDefault="003E498D">
      <w:pPr>
        <w:pStyle w:val="NoSpacing"/>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последните два вестника - през 2012г.</w:t>
      </w:r>
    </w:p>
  </w:footnote>
  <w:footnote w:id="14">
    <w:p w:rsidR="00000000" w:rsidRDefault="003E498D">
      <w:pPr>
        <w:pStyle w:val="NoSpacing"/>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в скоби е посочен делът /в проценти/ на всеки разпространител от общия отпечатан тираж на двата вестника за периода</w:t>
      </w:r>
    </w:p>
  </w:footnote>
  <w:footnote w:id="15">
    <w:p w:rsidR="00000000" w:rsidRDefault="003E498D">
      <w:pPr>
        <w:pStyle w:val="NoSpacing"/>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част от световната група Lagardère, която развива от 2008г. в България и собстве</w:t>
      </w:r>
      <w:r>
        <w:rPr>
          <w:rFonts w:ascii="Times New Roman" w:hAnsi="Times New Roman"/>
          <w:sz w:val="20"/>
          <w:szCs w:val="20"/>
        </w:rPr>
        <w:t xml:space="preserve">на търговска дейност под търговските марки </w:t>
      </w:r>
      <w:r>
        <w:rPr>
          <w:rStyle w:val="Strong"/>
          <w:rFonts w:ascii="Times New Roman" w:hAnsi="Times New Roman"/>
          <w:sz w:val="20"/>
          <w:szCs w:val="20"/>
        </w:rPr>
        <w:t>Inmedio</w:t>
      </w:r>
      <w:r>
        <w:rPr>
          <w:rFonts w:ascii="Times New Roman" w:hAnsi="Times New Roman"/>
          <w:sz w:val="20"/>
          <w:szCs w:val="20"/>
        </w:rPr>
        <w:t xml:space="preserve"> и </w:t>
      </w:r>
      <w:r>
        <w:rPr>
          <w:rStyle w:val="Strong"/>
          <w:rFonts w:ascii="Times New Roman" w:hAnsi="Times New Roman"/>
          <w:sz w:val="20"/>
          <w:szCs w:val="20"/>
        </w:rPr>
        <w:t xml:space="preserve">Relay </w:t>
      </w:r>
      <w:r>
        <w:rPr>
          <w:rFonts w:ascii="Times New Roman" w:hAnsi="Times New Roman"/>
          <w:sz w:val="20"/>
          <w:szCs w:val="20"/>
        </w:rPr>
        <w:t>/продажба на дребно на вестници, списания, книги, хранителни продукти, тютюневи изделия, подаръци, импулсивни продукти/и други ТМ;</w:t>
      </w:r>
    </w:p>
  </w:footnote>
  <w:footnote w:id="16">
    <w:p w:rsidR="00000000" w:rsidRDefault="003E498D">
      <w:pPr>
        <w:pStyle w:val="NoSpacing"/>
        <w:jc w:val="both"/>
        <w:rPr>
          <w:sz w:val="20"/>
          <w:szCs w:val="20"/>
        </w:rPr>
      </w:pPr>
      <w:r>
        <w:rPr>
          <w:rStyle w:val="FootnoteReference"/>
          <w:rFonts w:ascii="Times New Roman" w:hAnsi="Times New Roman"/>
          <w:sz w:val="20"/>
          <w:szCs w:val="20"/>
        </w:rPr>
        <w:footnoteRef/>
      </w:r>
      <w:r>
        <w:rPr>
          <w:rFonts w:ascii="Times New Roman" w:hAnsi="Times New Roman"/>
          <w:sz w:val="20"/>
          <w:szCs w:val="20"/>
        </w:rPr>
        <w:t xml:space="preserve"> т.е. не </w:t>
      </w:r>
      <w:r>
        <w:rPr>
          <w:rFonts w:ascii="Times New Roman" w:hAnsi="Times New Roman"/>
          <w:spacing w:val="10"/>
          <w:sz w:val="20"/>
          <w:szCs w:val="20"/>
        </w:rPr>
        <w:t xml:space="preserve">оперира с </w:t>
      </w:r>
      <w:r>
        <w:rPr>
          <w:rFonts w:ascii="Times New Roman" w:hAnsi="Times New Roman"/>
          <w:spacing w:val="2"/>
          <w:sz w:val="20"/>
          <w:szCs w:val="20"/>
        </w:rPr>
        <w:t>целогодишни улични павилиони за преса в тяхнат</w:t>
      </w:r>
      <w:r>
        <w:rPr>
          <w:rFonts w:ascii="Times New Roman" w:hAnsi="Times New Roman"/>
          <w:spacing w:val="2"/>
          <w:sz w:val="20"/>
          <w:szCs w:val="20"/>
        </w:rPr>
        <w:t>а традиционна форма.</w:t>
      </w:r>
    </w:p>
  </w:footnote>
  <w:footnote w:id="17">
    <w:p w:rsidR="00000000" w:rsidRDefault="003E498D">
      <w:pPr>
        <w:pStyle w:val="FootnoteText"/>
        <w:jc w:val="both"/>
        <w:rPr>
          <w:rFonts w:ascii="Times New Roman" w:hAnsi="Times New Roman"/>
          <w:sz w:val="16"/>
          <w:szCs w:val="16"/>
        </w:rPr>
      </w:pPr>
      <w:r>
        <w:rPr>
          <w:rStyle w:val="FootnoteReference"/>
          <w:rFonts w:ascii="Times New Roman" w:hAnsi="Times New Roman"/>
        </w:rPr>
        <w:footnoteRef/>
      </w:r>
      <w:r>
        <w:rPr>
          <w:rFonts w:ascii="Times New Roman" w:hAnsi="Times New Roman"/>
        </w:rPr>
        <w:t xml:space="preserve"> не се прави сравнение с 2009г., тъй като за 2009г. данните се отнасят само до периода юли-декември.</w:t>
      </w:r>
    </w:p>
  </w:footnote>
  <w:footnote w:id="18">
    <w:p w:rsidR="00000000" w:rsidRDefault="003E498D">
      <w:pPr>
        <w:pStyle w:val="NoSpacing"/>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което се контролира от Карне-М1 АД, София</w:t>
      </w:r>
    </w:p>
  </w:footnote>
  <w:footnote w:id="19">
    <w:p w:rsidR="00000000" w:rsidRDefault="003E498D">
      <w:pPr>
        <w:pStyle w:val="NoSpacing"/>
        <w:rPr>
          <w:rFonts w:ascii="Times New Roman" w:hAnsi="Times New Roman"/>
          <w:sz w:val="16"/>
          <w:szCs w:val="16"/>
        </w:rPr>
      </w:pPr>
      <w:r>
        <w:rPr>
          <w:rStyle w:val="FootnoteReference"/>
          <w:rFonts w:ascii="Times New Roman" w:hAnsi="Times New Roman"/>
          <w:sz w:val="20"/>
          <w:szCs w:val="20"/>
        </w:rPr>
        <w:footnoteRef/>
      </w:r>
      <w:r>
        <w:rPr>
          <w:rFonts w:ascii="Times New Roman" w:hAnsi="Times New Roman"/>
          <w:sz w:val="20"/>
          <w:szCs w:val="20"/>
        </w:rPr>
        <w:t xml:space="preserve"> съгласно направена справка в ТР</w:t>
      </w:r>
    </w:p>
  </w:footnote>
  <w:footnote w:id="20">
    <w:p w:rsidR="00000000" w:rsidRDefault="003E498D">
      <w:pPr>
        <w:pStyle w:val="NoSpacing"/>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не бяха предоставени данни за доставения тираж период</w:t>
      </w:r>
      <w:r>
        <w:rPr>
          <w:rFonts w:ascii="Times New Roman" w:hAnsi="Times New Roman"/>
          <w:sz w:val="20"/>
          <w:szCs w:val="20"/>
        </w:rPr>
        <w:t>ични издания</w:t>
      </w:r>
    </w:p>
  </w:footnote>
  <w:footnote w:id="21">
    <w:p w:rsidR="00000000" w:rsidRDefault="003E498D">
      <w:pPr>
        <w:pStyle w:val="NoSpacing"/>
        <w:rPr>
          <w:rFonts w:ascii="Times New Roman" w:hAnsi="Times New Roman"/>
          <w:sz w:val="16"/>
          <w:szCs w:val="16"/>
        </w:rPr>
      </w:pPr>
      <w:r>
        <w:rPr>
          <w:rStyle w:val="FootnoteReference"/>
          <w:rFonts w:ascii="Times New Roman" w:hAnsi="Times New Roman"/>
          <w:sz w:val="20"/>
          <w:szCs w:val="20"/>
        </w:rPr>
        <w:footnoteRef/>
      </w:r>
      <w:r>
        <w:rPr>
          <w:rFonts w:ascii="Times New Roman" w:hAnsi="Times New Roman"/>
          <w:sz w:val="20"/>
          <w:szCs w:val="20"/>
        </w:rPr>
        <w:t xml:space="preserve"> до края на м.ноември 2011г. стоките се транспортират от“Прес“ ЕООД и „Агенция Стрела“ ЕООД, а след това от „НАР“ АД и „Прес“ ЕООД;</w:t>
      </w:r>
    </w:p>
  </w:footnote>
  <w:footnote w:id="22">
    <w:p w:rsidR="00000000" w:rsidRDefault="003E498D">
      <w:pPr>
        <w:pStyle w:val="NoSpacing"/>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а в съдружие с Цветан Костадинов участие има и в „Соната” ООД, „Сенатор комерс” ООД, „Юг Прес” ООД; „Сенатор</w:t>
      </w:r>
      <w:r>
        <w:rPr>
          <w:rFonts w:ascii="Times New Roman" w:hAnsi="Times New Roman"/>
          <w:sz w:val="20"/>
          <w:szCs w:val="20"/>
        </w:rPr>
        <w:t xml:space="preserve"> Систем” ООД, „Соната Комерс” ООД, „Сенатор Трейдинг” ООД, „Слагет” ООД</w:t>
      </w:r>
    </w:p>
  </w:footnote>
  <w:footnote w:id="23">
    <w:p w:rsidR="00000000" w:rsidRDefault="003E498D">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а не както преди – да купува издания от издатели и дистрибутори</w:t>
      </w:r>
    </w:p>
  </w:footnote>
  <w:footnote w:id="24">
    <w:p w:rsidR="00000000" w:rsidRDefault="003E498D">
      <w:pPr>
        <w:pStyle w:val="NoSpacing"/>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Дружеството е регистрирано 1997 г., като от създаването му до изготвянето на секторния анализ са вписвани промени по</w:t>
      </w:r>
      <w:r>
        <w:rPr>
          <w:rFonts w:ascii="Times New Roman" w:hAnsi="Times New Roman"/>
          <w:sz w:val="20"/>
          <w:szCs w:val="20"/>
        </w:rPr>
        <w:t xml:space="preserve"> ф.д. в броя и състава на съдружниците </w:t>
      </w:r>
    </w:p>
  </w:footnote>
  <w:footnote w:id="25">
    <w:p w:rsidR="00000000" w:rsidRDefault="003E498D">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което контролира Пресгрупа Утро ЕООД, издател на в. Утро /Русе/</w:t>
      </w:r>
    </w:p>
  </w:footnote>
  <w:footnote w:id="26">
    <w:p w:rsidR="00000000" w:rsidRDefault="003E498D">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не е предоставена информация за процентното съотношение по видове канали на разпространение</w:t>
      </w:r>
    </w:p>
  </w:footnote>
  <w:footnote w:id="27">
    <w:p w:rsidR="00000000" w:rsidRDefault="003E498D">
      <w:pPr>
        <w:pStyle w:val="FootnoteText"/>
        <w:jc w:val="both"/>
        <w:rPr>
          <w:sz w:val="18"/>
          <w:szCs w:val="18"/>
        </w:rPr>
      </w:pPr>
      <w:r>
        <w:rPr>
          <w:rStyle w:val="FootnoteReference"/>
          <w:rFonts w:ascii="Times New Roman" w:hAnsi="Times New Roman"/>
          <w:sz w:val="16"/>
          <w:szCs w:val="16"/>
        </w:rPr>
        <w:footnoteRef/>
      </w:r>
      <w:r>
        <w:rPr>
          <w:rFonts w:ascii="Times New Roman" w:hAnsi="Times New Roman"/>
          <w:sz w:val="16"/>
          <w:szCs w:val="16"/>
        </w:rPr>
        <w:t xml:space="preserve"> достъп на сайта на търговския регистър. </w:t>
      </w:r>
      <w:hyperlink r:id="rId1" w:history="1">
        <w:r>
          <w:rPr>
            <w:rStyle w:val="Hyperlink"/>
            <w:rFonts w:ascii="Times New Roman" w:hAnsi="Times New Roman"/>
            <w:sz w:val="16"/>
            <w:szCs w:val="16"/>
          </w:rPr>
          <w:t>https://public.brra.bg/CheckUps/Verifications/VerificationPersonOrg.ra</w:t>
        </w:r>
      </w:hyperlink>
    </w:p>
  </w:footnote>
  <w:footnote w:id="28">
    <w:p w:rsidR="00000000" w:rsidRDefault="003E498D">
      <w:pPr>
        <w:pStyle w:val="NoSpacing"/>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bCs/>
          <w:sz w:val="20"/>
          <w:szCs w:val="20"/>
        </w:rPr>
        <w:t>ALBARRAN</w:t>
      </w:r>
      <w:r>
        <w:rPr>
          <w:rFonts w:ascii="Times New Roman" w:hAnsi="Times New Roman"/>
          <w:sz w:val="20"/>
          <w:szCs w:val="20"/>
        </w:rPr>
        <w:t xml:space="preserve">, </w:t>
      </w:r>
      <w:r>
        <w:rPr>
          <w:rFonts w:ascii="Times New Roman" w:hAnsi="Times New Roman"/>
          <w:bCs/>
          <w:sz w:val="20"/>
          <w:szCs w:val="20"/>
        </w:rPr>
        <w:t>Alan B</w:t>
      </w:r>
      <w:r>
        <w:rPr>
          <w:rFonts w:ascii="Times New Roman" w:hAnsi="Times New Roman"/>
          <w:sz w:val="20"/>
          <w:szCs w:val="20"/>
        </w:rPr>
        <w:t xml:space="preserve">., </w:t>
      </w:r>
      <w:r>
        <w:rPr>
          <w:rFonts w:ascii="Times New Roman" w:hAnsi="Times New Roman"/>
          <w:bCs/>
          <w:sz w:val="20"/>
          <w:szCs w:val="20"/>
        </w:rPr>
        <w:t>Media Economics</w:t>
      </w:r>
      <w:r>
        <w:rPr>
          <w:rFonts w:ascii="Times New Roman" w:hAnsi="Times New Roman"/>
          <w:sz w:val="20"/>
          <w:szCs w:val="20"/>
        </w:rPr>
        <w:t>: Understanding Markets, Industries and Concepts, Iowa State University Press</w:t>
      </w:r>
      <w:r>
        <w:rPr>
          <w:rFonts w:ascii="Times New Roman" w:hAnsi="Times New Roman"/>
          <w:sz w:val="20"/>
          <w:szCs w:val="20"/>
        </w:rPr>
        <w:t>, 1998</w:t>
      </w:r>
    </w:p>
  </w:footnote>
  <w:footnote w:id="29">
    <w:p w:rsidR="00000000" w:rsidRDefault="003E498D">
      <w:pPr>
        <w:pStyle w:val="NoSpacing"/>
        <w:rPr>
          <w:rFonts w:ascii="Times New Roman" w:hAnsi="Times New Roman"/>
          <w:sz w:val="20"/>
          <w:szCs w:val="20"/>
          <w:lang w:val="en-US"/>
        </w:rPr>
      </w:pPr>
      <w:r>
        <w:rPr>
          <w:rStyle w:val="FootnoteReference"/>
          <w:rFonts w:ascii="Times New Roman" w:hAnsi="Times New Roman"/>
          <w:sz w:val="20"/>
          <w:szCs w:val="20"/>
        </w:rPr>
        <w:footnoteRef/>
      </w:r>
      <w:r>
        <w:rPr>
          <w:rFonts w:ascii="Times New Roman" w:hAnsi="Times New Roman"/>
          <w:sz w:val="20"/>
          <w:szCs w:val="20"/>
          <w:lang w:val="en-US"/>
        </w:rPr>
        <w:t xml:space="preserve"> The Buying and selling of America's newspapers, Ghiglione, Loren, published by R.J. Berg  (Indianapolis, Ind.)1984</w:t>
      </w:r>
    </w:p>
  </w:footnote>
  <w:footnote w:id="30">
    <w:p w:rsidR="00000000" w:rsidRDefault="003E498D">
      <w:pPr>
        <w:pStyle w:val="NoSpacing"/>
        <w:rPr>
          <w:rFonts w:ascii="Times New Roman" w:hAnsi="Times New Roman"/>
          <w:sz w:val="20"/>
          <w:szCs w:val="20"/>
          <w:lang w:val="en-US"/>
        </w:rPr>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hAnsi="Times New Roman"/>
          <w:sz w:val="20"/>
          <w:szCs w:val="20"/>
          <w:lang w:val="en-US"/>
        </w:rPr>
        <w:t>Wirth,    M.   O.   (1986).   Economic    barriers  to</w:t>
      </w:r>
      <w:r>
        <w:rPr>
          <w:rFonts w:ascii="Times New Roman" w:hAnsi="Times New Roman"/>
          <w:sz w:val="20"/>
          <w:szCs w:val="20"/>
        </w:rPr>
        <w:t xml:space="preserve"> </w:t>
      </w:r>
      <w:r>
        <w:rPr>
          <w:rFonts w:ascii="Times New Roman" w:hAnsi="Times New Roman"/>
          <w:sz w:val="20"/>
          <w:szCs w:val="20"/>
          <w:lang w:val="en-US"/>
        </w:rPr>
        <w:t>entering    media    industries   in   the  United</w:t>
      </w:r>
      <w:r>
        <w:rPr>
          <w:rFonts w:ascii="Times New Roman" w:hAnsi="Times New Roman"/>
          <w:sz w:val="20"/>
          <w:szCs w:val="20"/>
        </w:rPr>
        <w:t xml:space="preserve"> </w:t>
      </w:r>
      <w:r>
        <w:rPr>
          <w:rFonts w:ascii="Times New Roman" w:hAnsi="Times New Roman"/>
          <w:sz w:val="20"/>
          <w:szCs w:val="20"/>
          <w:lang w:val="en-US"/>
        </w:rPr>
        <w:t>States. In M. McLaughlin</w:t>
      </w:r>
      <w:r>
        <w:rPr>
          <w:rFonts w:ascii="Times New Roman" w:hAnsi="Times New Roman"/>
          <w:sz w:val="20"/>
          <w:szCs w:val="20"/>
          <w:lang w:val="en-US"/>
        </w:rPr>
        <w:t xml:space="preserve"> (Ed.), Communication  yearbook  9  (pp.  423–442).  Beverly Hills, CA: Sage.</w:t>
      </w:r>
    </w:p>
    <w:p w:rsidR="00000000" w:rsidRDefault="003E498D">
      <w:pPr>
        <w:pStyle w:val="NoSpacing"/>
        <w:rPr>
          <w:rFonts w:ascii="Times New Roman" w:hAnsi="Times New Roman"/>
          <w:sz w:val="16"/>
          <w:szCs w:val="16"/>
        </w:rPr>
      </w:pPr>
    </w:p>
  </w:footnote>
  <w:footnote w:id="31">
    <w:p w:rsidR="00000000" w:rsidRDefault="003E498D">
      <w:pPr>
        <w:pStyle w:val="NoSpacing"/>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Не е задължено да регистрира извършваните от него продажби в търговски обект чрез фискални устройства лице, което извършва продажби във или от търговски обекти, специализиран</w:t>
      </w:r>
      <w:r>
        <w:rPr>
          <w:rFonts w:ascii="Times New Roman" w:hAnsi="Times New Roman"/>
          <w:sz w:val="20"/>
          <w:szCs w:val="20"/>
        </w:rPr>
        <w:t>и само за вестници и списания (в сила от 29.06.2010 г.);</w:t>
      </w:r>
    </w:p>
    <w:p w:rsidR="00000000" w:rsidRDefault="003E498D">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00000F"/>
    <w:multiLevelType w:val="multilevel"/>
    <w:tmpl w:val="0000000F"/>
    <w:lvl w:ilvl="0">
      <w:start w:val="4"/>
      <w:numFmt w:val="decimal"/>
      <w:lvlText w:val="%1."/>
      <w:lvlJc w:val="left"/>
      <w:pPr>
        <w:ind w:left="585" w:hanging="585"/>
      </w:pPr>
      <w:rPr>
        <w:rFonts w:hint="default"/>
      </w:rPr>
    </w:lvl>
    <w:lvl w:ilvl="1">
      <w:start w:val="4"/>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
    <w:nsid w:val="00000012"/>
    <w:multiLevelType w:val="multilevel"/>
    <w:tmpl w:val="00000012"/>
    <w:lvl w:ilvl="0">
      <w:start w:val="4"/>
      <w:numFmt w:val="decimal"/>
      <w:lvlText w:val="%1."/>
      <w:lvlJc w:val="left"/>
      <w:pPr>
        <w:ind w:left="585" w:hanging="585"/>
      </w:pPr>
      <w:rPr>
        <w:rFonts w:hint="default"/>
        <w:b/>
      </w:rPr>
    </w:lvl>
    <w:lvl w:ilvl="1">
      <w:start w:val="4"/>
      <w:numFmt w:val="decimal"/>
      <w:lvlText w:val="%1.%2."/>
      <w:lvlJc w:val="left"/>
      <w:pPr>
        <w:ind w:left="720" w:hanging="720"/>
      </w:pPr>
      <w:rPr>
        <w:rFonts w:hint="default"/>
        <w:b/>
      </w:rPr>
    </w:lvl>
    <w:lvl w:ilvl="2">
      <w:start w:val="6"/>
      <w:numFmt w:val="decimal"/>
      <w:lvlText w:val="%1.%2.%3."/>
      <w:lvlJc w:val="left"/>
      <w:pPr>
        <w:ind w:left="1304" w:hanging="720"/>
      </w:pPr>
      <w:rPr>
        <w:rFonts w:hint="default"/>
        <w:b/>
      </w:rPr>
    </w:lvl>
    <w:lvl w:ilvl="3">
      <w:start w:val="1"/>
      <w:numFmt w:val="decimal"/>
      <w:lvlText w:val="%1.%2.%3.%4."/>
      <w:lvlJc w:val="left"/>
      <w:pPr>
        <w:ind w:left="1956" w:hanging="1080"/>
      </w:pPr>
      <w:rPr>
        <w:rFonts w:hint="default"/>
        <w:b/>
      </w:rPr>
    </w:lvl>
    <w:lvl w:ilvl="4">
      <w:start w:val="1"/>
      <w:numFmt w:val="decimal"/>
      <w:lvlText w:val="%1.%2.%3.%4.%5."/>
      <w:lvlJc w:val="left"/>
      <w:pPr>
        <w:ind w:left="2248" w:hanging="1080"/>
      </w:pPr>
      <w:rPr>
        <w:rFonts w:hint="default"/>
        <w:b/>
      </w:rPr>
    </w:lvl>
    <w:lvl w:ilvl="5">
      <w:start w:val="1"/>
      <w:numFmt w:val="decimal"/>
      <w:lvlText w:val="%1.%2.%3.%4.%5.%6."/>
      <w:lvlJc w:val="left"/>
      <w:pPr>
        <w:ind w:left="2900" w:hanging="1440"/>
      </w:pPr>
      <w:rPr>
        <w:rFonts w:hint="default"/>
        <w:b/>
      </w:rPr>
    </w:lvl>
    <w:lvl w:ilvl="6">
      <w:start w:val="1"/>
      <w:numFmt w:val="decimal"/>
      <w:lvlText w:val="%1.%2.%3.%4.%5.%6.%7."/>
      <w:lvlJc w:val="left"/>
      <w:pPr>
        <w:ind w:left="3192" w:hanging="1440"/>
      </w:pPr>
      <w:rPr>
        <w:rFonts w:hint="default"/>
        <w:b/>
      </w:rPr>
    </w:lvl>
    <w:lvl w:ilvl="7">
      <w:start w:val="1"/>
      <w:numFmt w:val="decimal"/>
      <w:lvlText w:val="%1.%2.%3.%4.%5.%6.%7.%8."/>
      <w:lvlJc w:val="left"/>
      <w:pPr>
        <w:ind w:left="3844" w:hanging="1800"/>
      </w:pPr>
      <w:rPr>
        <w:rFonts w:hint="default"/>
        <w:b/>
      </w:rPr>
    </w:lvl>
    <w:lvl w:ilvl="8">
      <w:start w:val="1"/>
      <w:numFmt w:val="decimal"/>
      <w:lvlText w:val="%1.%2.%3.%4.%5.%6.%7.%8.%9."/>
      <w:lvlJc w:val="left"/>
      <w:pPr>
        <w:ind w:left="4136" w:hanging="1800"/>
      </w:pPr>
      <w:rPr>
        <w:rFonts w:hint="default"/>
        <w:b/>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E498D"/>
    <w:rsid w:val="009B7655"/>
    <w:rsid w:val="00AF7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bg-BG" w:eastAsia="bg-BG"/>
    </w:rPr>
  </w:style>
  <w:style w:type="paragraph" w:styleId="Heading1">
    <w:name w:val="heading 1"/>
    <w:basedOn w:val="Normal"/>
    <w:next w:val="Normal"/>
    <w:link w:val="Heading1Char"/>
    <w:qFormat/>
    <w:pPr>
      <w:keepNext/>
      <w:keepLines/>
      <w:spacing w:before="240" w:after="60"/>
      <w:outlineLvl w:val="0"/>
    </w:pPr>
    <w:rPr>
      <w:rFonts w:ascii="Times New Roman" w:eastAsia="Times New Roman" w:hAnsi="Times New Roman"/>
      <w:b/>
      <w:bCs/>
      <w:kern w:val="32"/>
      <w:sz w:val="24"/>
      <w:szCs w:val="32"/>
      <w:lang w:eastAsia="en-US"/>
    </w:rPr>
  </w:style>
  <w:style w:type="paragraph" w:styleId="Heading2">
    <w:name w:val="heading 2"/>
    <w:basedOn w:val="Normal"/>
    <w:next w:val="Normal"/>
    <w:link w:val="Heading2Char"/>
    <w:qFormat/>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link w:val="Heading3Char"/>
    <w:qFormat/>
    <w:pPr>
      <w:keepNext/>
      <w:keepLines/>
      <w:outlineLvl w:val="2"/>
    </w:pPr>
    <w:rPr>
      <w:rFonts w:ascii="Times New Roman" w:eastAsia="Times New Roman" w:hAnsi="Times New Roman"/>
      <w:b/>
      <w:bCs/>
      <w:sz w:val="24"/>
      <w:szCs w:val="22"/>
      <w:u w:val="single"/>
      <w:lang w:eastAsia="en-US"/>
    </w:rPr>
  </w:style>
  <w:style w:type="paragraph" w:styleId="Heading5">
    <w:name w:val="heading 5"/>
    <w:basedOn w:val="Normal"/>
    <w:next w:val="Normal"/>
    <w:link w:val="Heading5Char"/>
    <w:qFormat/>
    <w:pPr>
      <w:spacing w:before="240" w:after="60"/>
      <w:outlineLvl w:val="4"/>
    </w:pPr>
    <w:rPr>
      <w:rFonts w:eastAsia="Times New Roman"/>
      <w:b/>
      <w:bCs/>
      <w:i/>
      <w:iCs/>
      <w:sz w:val="26"/>
      <w:szCs w:val="26"/>
      <w:lang w:eastAsia="en-US"/>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b/>
      <w:bCs/>
      <w:kern w:val="32"/>
      <w:sz w:val="24"/>
      <w:szCs w:val="32"/>
      <w:lang w:eastAsia="en-US"/>
    </w:rPr>
  </w:style>
  <w:style w:type="character" w:styleId="FootnoteReference">
    <w:name w:val="footnote reference"/>
    <w:rPr>
      <w:vertAlign w:val="superscript"/>
    </w:rPr>
  </w:style>
  <w:style w:type="character" w:styleId="Hyperlink">
    <w:name w:val="Hyperlink"/>
    <w:rPr>
      <w:color w:val="0000FF"/>
      <w:u w:val="single"/>
    </w:rPr>
  </w:style>
  <w:style w:type="character" w:styleId="Strong">
    <w:name w:val="Strong"/>
    <w:qFormat/>
    <w:rPr>
      <w:b/>
      <w:bCs/>
    </w:rPr>
  </w:style>
  <w:style w:type="character" w:customStyle="1" w:styleId="FootnoteTextChar">
    <w:name w:val="Footnote Text Char"/>
    <w:link w:val="FootnoteText"/>
    <w:rPr>
      <w:lang w:eastAsia="en-US"/>
    </w:rPr>
  </w:style>
  <w:style w:type="character" w:customStyle="1" w:styleId="HeaderChar">
    <w:name w:val="Header Char"/>
    <w:link w:val="Header"/>
    <w:rPr>
      <w:sz w:val="22"/>
      <w:szCs w:val="22"/>
      <w:lang w:eastAsia="en-US"/>
    </w:rPr>
  </w:style>
  <w:style w:type="character" w:customStyle="1" w:styleId="FooterChar">
    <w:name w:val="Footer Char"/>
    <w:link w:val="Footer"/>
    <w:rPr>
      <w:sz w:val="22"/>
      <w:szCs w:val="22"/>
      <w:lang w:eastAsia="en-US"/>
    </w:rPr>
  </w:style>
  <w:style w:type="character" w:customStyle="1" w:styleId="BalloonTextChar">
    <w:name w:val="Balloon Text Char"/>
    <w:link w:val="BalloonText"/>
    <w:rPr>
      <w:rFonts w:ascii="Tahoma" w:hAnsi="Tahoma" w:cs="Tahoma"/>
      <w:sz w:val="16"/>
      <w:szCs w:val="16"/>
      <w:lang w:eastAsia="en-US"/>
    </w:rPr>
  </w:style>
  <w:style w:type="character" w:customStyle="1" w:styleId="Heading2CharChar">
    <w:name w:val="Heading 2 Char Char"/>
    <w:rPr>
      <w:rFonts w:ascii="Times New Roman" w:eastAsia="Times New Roman" w:hAnsi="Times New Roman"/>
      <w:b/>
      <w:bCs/>
      <w:i/>
      <w:sz w:val="24"/>
      <w:szCs w:val="26"/>
      <w:lang w:eastAsia="en-US"/>
    </w:rPr>
  </w:style>
  <w:style w:type="character" w:customStyle="1" w:styleId="Style2CharChar">
    <w:name w:val="Style2 Char Char"/>
    <w:link w:val="Style2"/>
    <w:rPr>
      <w:rFonts w:ascii="Times New Roman" w:hAnsi="Times New Roman"/>
      <w:color w:val="243F60"/>
      <w:sz w:val="24"/>
      <w:szCs w:val="24"/>
    </w:rPr>
  </w:style>
  <w:style w:type="character" w:customStyle="1" w:styleId="Heading3Char">
    <w:name w:val="Heading 3 Char"/>
    <w:link w:val="Heading3"/>
    <w:rPr>
      <w:rFonts w:ascii="Times New Roman" w:eastAsia="Times New Roman" w:hAnsi="Times New Roman"/>
      <w:b/>
      <w:bCs/>
      <w:sz w:val="24"/>
      <w:szCs w:val="22"/>
      <w:u w:val="single"/>
      <w:lang w:eastAsia="en-US"/>
    </w:rPr>
  </w:style>
  <w:style w:type="character" w:customStyle="1" w:styleId="Heading5Char">
    <w:name w:val="Heading 5 Char"/>
    <w:link w:val="Heading5"/>
    <w:rPr>
      <w:rFonts w:ascii="Calibri" w:eastAsia="Times New Roman" w:hAnsi="Calibri" w:cs="Times New Roman"/>
      <w:b/>
      <w:bCs/>
      <w:i/>
      <w:iCs/>
      <w:sz w:val="26"/>
      <w:szCs w:val="26"/>
      <w:lang w:eastAsia="en-US"/>
    </w:rPr>
  </w:style>
  <w:style w:type="character" w:customStyle="1" w:styleId="Heading2Char">
    <w:name w:val="Heading 2 Char"/>
    <w:link w:val="Heading2"/>
    <w:rPr>
      <w:rFonts w:ascii="Cambria" w:eastAsia="Times New Roman" w:hAnsi="Cambria" w:cs="Times New Roman"/>
      <w:b/>
      <w:bCs/>
      <w:color w:val="4F81BD"/>
      <w:sz w:val="26"/>
      <w:szCs w:val="26"/>
    </w:rPr>
  </w:style>
  <w:style w:type="paragraph" w:styleId="BalloonText">
    <w:name w:val="Balloon Text"/>
    <w:basedOn w:val="Normal"/>
    <w:link w:val="BalloonTextChar"/>
    <w:rPr>
      <w:rFonts w:ascii="Tahoma" w:hAnsi="Tahoma" w:cs="Tahoma"/>
      <w:sz w:val="16"/>
      <w:szCs w:val="16"/>
      <w:lang w:eastAsia="en-US"/>
    </w:rPr>
  </w:style>
  <w:style w:type="paragraph" w:styleId="Footer">
    <w:name w:val="footer"/>
    <w:basedOn w:val="Normal"/>
    <w:link w:val="FooterChar"/>
    <w:pPr>
      <w:tabs>
        <w:tab w:val="center" w:pos="4536"/>
        <w:tab w:val="right" w:pos="9072"/>
      </w:tabs>
    </w:pPr>
    <w:rPr>
      <w:sz w:val="22"/>
      <w:szCs w:val="22"/>
      <w:lang w:eastAsia="en-US"/>
    </w:rPr>
  </w:style>
  <w:style w:type="paragraph" w:styleId="FootnoteText">
    <w:name w:val="footnote text"/>
    <w:basedOn w:val="Normal"/>
    <w:link w:val="FootnoteTextChar"/>
    <w:rPr>
      <w:lang w:eastAsia="en-US"/>
    </w:rPr>
  </w:style>
  <w:style w:type="paragraph" w:styleId="Header">
    <w:name w:val="header"/>
    <w:basedOn w:val="Normal"/>
    <w:link w:val="HeaderChar"/>
    <w:pPr>
      <w:tabs>
        <w:tab w:val="center" w:pos="4536"/>
        <w:tab w:val="right" w:pos="9072"/>
      </w:tabs>
    </w:pPr>
    <w:rPr>
      <w:sz w:val="22"/>
      <w:szCs w:val="22"/>
      <w:lang w:eastAsia="en-US"/>
    </w:rPr>
  </w:style>
  <w:style w:type="paragraph" w:styleId="NormalWeb">
    <w:name w:val="Normal (Web)"/>
    <w:basedOn w:val="Normal"/>
    <w:pPr>
      <w:spacing w:before="100" w:beforeAutospacing="1" w:after="119"/>
    </w:pPr>
    <w:rPr>
      <w:rFonts w:ascii="Times New Roman" w:eastAsia="Times New Roman" w:hAnsi="Times New Roman"/>
      <w:sz w:val="24"/>
      <w:szCs w:val="24"/>
    </w:rPr>
  </w:style>
  <w:style w:type="paragraph" w:styleId="NoSpacing">
    <w:name w:val="No Spacing"/>
    <w:qFormat/>
    <w:rPr>
      <w:sz w:val="22"/>
      <w:szCs w:val="22"/>
      <w:lang w:val="bg-BG"/>
    </w:rPr>
  </w:style>
  <w:style w:type="paragraph" w:styleId="ListParagraph">
    <w:name w:val="List Paragraph"/>
    <w:basedOn w:val="Normal"/>
    <w:qFormat/>
    <w:pPr>
      <w:ind w:left="720"/>
      <w:contextualSpacing/>
    </w:pPr>
    <w:rPr>
      <w:rFonts w:ascii="Times New Roman" w:hAnsi="Times New Roman"/>
      <w:sz w:val="24"/>
    </w:rPr>
  </w:style>
  <w:style w:type="paragraph" w:customStyle="1" w:styleId="Style2">
    <w:name w:val="Style2"/>
    <w:basedOn w:val="Heading5"/>
    <w:link w:val="Style2CharChar"/>
    <w:pPr>
      <w:jc w:val="both"/>
      <w:outlineLvl w:val="9"/>
    </w:pPr>
    <w:rPr>
      <w:rFonts w:ascii="Times New Roman" w:hAnsi="Times New Roman"/>
      <w:color w:val="243F60"/>
      <w:sz w:val="24"/>
      <w:szCs w:val="24"/>
    </w:rPr>
  </w:style>
  <w:style w:type="paragraph" w:styleId="Revision">
    <w:name w:val="Revision"/>
    <w:rPr>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bg-BG" w:eastAsia="bg-BG"/>
    </w:rPr>
  </w:style>
  <w:style w:type="paragraph" w:styleId="Heading1">
    <w:name w:val="heading 1"/>
    <w:basedOn w:val="Normal"/>
    <w:next w:val="Normal"/>
    <w:link w:val="Heading1Char"/>
    <w:qFormat/>
    <w:pPr>
      <w:keepNext/>
      <w:keepLines/>
      <w:spacing w:before="240" w:after="60"/>
      <w:outlineLvl w:val="0"/>
    </w:pPr>
    <w:rPr>
      <w:rFonts w:ascii="Times New Roman" w:eastAsia="Times New Roman" w:hAnsi="Times New Roman"/>
      <w:b/>
      <w:bCs/>
      <w:kern w:val="32"/>
      <w:sz w:val="24"/>
      <w:szCs w:val="32"/>
      <w:lang w:eastAsia="en-US"/>
    </w:rPr>
  </w:style>
  <w:style w:type="paragraph" w:styleId="Heading2">
    <w:name w:val="heading 2"/>
    <w:basedOn w:val="Normal"/>
    <w:next w:val="Normal"/>
    <w:link w:val="Heading2Char"/>
    <w:qFormat/>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link w:val="Heading3Char"/>
    <w:qFormat/>
    <w:pPr>
      <w:keepNext/>
      <w:keepLines/>
      <w:outlineLvl w:val="2"/>
    </w:pPr>
    <w:rPr>
      <w:rFonts w:ascii="Times New Roman" w:eastAsia="Times New Roman" w:hAnsi="Times New Roman"/>
      <w:b/>
      <w:bCs/>
      <w:sz w:val="24"/>
      <w:szCs w:val="22"/>
      <w:u w:val="single"/>
      <w:lang w:eastAsia="en-US"/>
    </w:rPr>
  </w:style>
  <w:style w:type="paragraph" w:styleId="Heading5">
    <w:name w:val="heading 5"/>
    <w:basedOn w:val="Normal"/>
    <w:next w:val="Normal"/>
    <w:link w:val="Heading5Char"/>
    <w:qFormat/>
    <w:pPr>
      <w:spacing w:before="240" w:after="60"/>
      <w:outlineLvl w:val="4"/>
    </w:pPr>
    <w:rPr>
      <w:rFonts w:eastAsia="Times New Roman"/>
      <w:b/>
      <w:bCs/>
      <w:i/>
      <w:iCs/>
      <w:sz w:val="26"/>
      <w:szCs w:val="26"/>
      <w:lang w:eastAsia="en-US"/>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b/>
      <w:bCs/>
      <w:kern w:val="32"/>
      <w:sz w:val="24"/>
      <w:szCs w:val="32"/>
      <w:lang w:eastAsia="en-US"/>
    </w:rPr>
  </w:style>
  <w:style w:type="character" w:styleId="FootnoteReference">
    <w:name w:val="footnote reference"/>
    <w:rPr>
      <w:vertAlign w:val="superscript"/>
    </w:rPr>
  </w:style>
  <w:style w:type="character" w:styleId="Hyperlink">
    <w:name w:val="Hyperlink"/>
    <w:rPr>
      <w:color w:val="0000FF"/>
      <w:u w:val="single"/>
    </w:rPr>
  </w:style>
  <w:style w:type="character" w:styleId="Strong">
    <w:name w:val="Strong"/>
    <w:qFormat/>
    <w:rPr>
      <w:b/>
      <w:bCs/>
    </w:rPr>
  </w:style>
  <w:style w:type="character" w:customStyle="1" w:styleId="FootnoteTextChar">
    <w:name w:val="Footnote Text Char"/>
    <w:link w:val="FootnoteText"/>
    <w:rPr>
      <w:lang w:eastAsia="en-US"/>
    </w:rPr>
  </w:style>
  <w:style w:type="character" w:customStyle="1" w:styleId="HeaderChar">
    <w:name w:val="Header Char"/>
    <w:link w:val="Header"/>
    <w:rPr>
      <w:sz w:val="22"/>
      <w:szCs w:val="22"/>
      <w:lang w:eastAsia="en-US"/>
    </w:rPr>
  </w:style>
  <w:style w:type="character" w:customStyle="1" w:styleId="FooterChar">
    <w:name w:val="Footer Char"/>
    <w:link w:val="Footer"/>
    <w:rPr>
      <w:sz w:val="22"/>
      <w:szCs w:val="22"/>
      <w:lang w:eastAsia="en-US"/>
    </w:rPr>
  </w:style>
  <w:style w:type="character" w:customStyle="1" w:styleId="BalloonTextChar">
    <w:name w:val="Balloon Text Char"/>
    <w:link w:val="BalloonText"/>
    <w:rPr>
      <w:rFonts w:ascii="Tahoma" w:hAnsi="Tahoma" w:cs="Tahoma"/>
      <w:sz w:val="16"/>
      <w:szCs w:val="16"/>
      <w:lang w:eastAsia="en-US"/>
    </w:rPr>
  </w:style>
  <w:style w:type="character" w:customStyle="1" w:styleId="Heading2CharChar">
    <w:name w:val="Heading 2 Char Char"/>
    <w:rPr>
      <w:rFonts w:ascii="Times New Roman" w:eastAsia="Times New Roman" w:hAnsi="Times New Roman"/>
      <w:b/>
      <w:bCs/>
      <w:i/>
      <w:sz w:val="24"/>
      <w:szCs w:val="26"/>
      <w:lang w:eastAsia="en-US"/>
    </w:rPr>
  </w:style>
  <w:style w:type="character" w:customStyle="1" w:styleId="Style2CharChar">
    <w:name w:val="Style2 Char Char"/>
    <w:link w:val="Style2"/>
    <w:rPr>
      <w:rFonts w:ascii="Times New Roman" w:hAnsi="Times New Roman"/>
      <w:color w:val="243F60"/>
      <w:sz w:val="24"/>
      <w:szCs w:val="24"/>
    </w:rPr>
  </w:style>
  <w:style w:type="character" w:customStyle="1" w:styleId="Heading3Char">
    <w:name w:val="Heading 3 Char"/>
    <w:link w:val="Heading3"/>
    <w:rPr>
      <w:rFonts w:ascii="Times New Roman" w:eastAsia="Times New Roman" w:hAnsi="Times New Roman"/>
      <w:b/>
      <w:bCs/>
      <w:sz w:val="24"/>
      <w:szCs w:val="22"/>
      <w:u w:val="single"/>
      <w:lang w:eastAsia="en-US"/>
    </w:rPr>
  </w:style>
  <w:style w:type="character" w:customStyle="1" w:styleId="Heading5Char">
    <w:name w:val="Heading 5 Char"/>
    <w:link w:val="Heading5"/>
    <w:rPr>
      <w:rFonts w:ascii="Calibri" w:eastAsia="Times New Roman" w:hAnsi="Calibri" w:cs="Times New Roman"/>
      <w:b/>
      <w:bCs/>
      <w:i/>
      <w:iCs/>
      <w:sz w:val="26"/>
      <w:szCs w:val="26"/>
      <w:lang w:eastAsia="en-US"/>
    </w:rPr>
  </w:style>
  <w:style w:type="character" w:customStyle="1" w:styleId="Heading2Char">
    <w:name w:val="Heading 2 Char"/>
    <w:link w:val="Heading2"/>
    <w:rPr>
      <w:rFonts w:ascii="Cambria" w:eastAsia="Times New Roman" w:hAnsi="Cambria" w:cs="Times New Roman"/>
      <w:b/>
      <w:bCs/>
      <w:color w:val="4F81BD"/>
      <w:sz w:val="26"/>
      <w:szCs w:val="26"/>
    </w:rPr>
  </w:style>
  <w:style w:type="paragraph" w:styleId="BalloonText">
    <w:name w:val="Balloon Text"/>
    <w:basedOn w:val="Normal"/>
    <w:link w:val="BalloonTextChar"/>
    <w:rPr>
      <w:rFonts w:ascii="Tahoma" w:hAnsi="Tahoma" w:cs="Tahoma"/>
      <w:sz w:val="16"/>
      <w:szCs w:val="16"/>
      <w:lang w:eastAsia="en-US"/>
    </w:rPr>
  </w:style>
  <w:style w:type="paragraph" w:styleId="Footer">
    <w:name w:val="footer"/>
    <w:basedOn w:val="Normal"/>
    <w:link w:val="FooterChar"/>
    <w:pPr>
      <w:tabs>
        <w:tab w:val="center" w:pos="4536"/>
        <w:tab w:val="right" w:pos="9072"/>
      </w:tabs>
    </w:pPr>
    <w:rPr>
      <w:sz w:val="22"/>
      <w:szCs w:val="22"/>
      <w:lang w:eastAsia="en-US"/>
    </w:rPr>
  </w:style>
  <w:style w:type="paragraph" w:styleId="FootnoteText">
    <w:name w:val="footnote text"/>
    <w:basedOn w:val="Normal"/>
    <w:link w:val="FootnoteTextChar"/>
    <w:rPr>
      <w:lang w:eastAsia="en-US"/>
    </w:rPr>
  </w:style>
  <w:style w:type="paragraph" w:styleId="Header">
    <w:name w:val="header"/>
    <w:basedOn w:val="Normal"/>
    <w:link w:val="HeaderChar"/>
    <w:pPr>
      <w:tabs>
        <w:tab w:val="center" w:pos="4536"/>
        <w:tab w:val="right" w:pos="9072"/>
      </w:tabs>
    </w:pPr>
    <w:rPr>
      <w:sz w:val="22"/>
      <w:szCs w:val="22"/>
      <w:lang w:eastAsia="en-US"/>
    </w:rPr>
  </w:style>
  <w:style w:type="paragraph" w:styleId="NormalWeb">
    <w:name w:val="Normal (Web)"/>
    <w:basedOn w:val="Normal"/>
    <w:pPr>
      <w:spacing w:before="100" w:beforeAutospacing="1" w:after="119"/>
    </w:pPr>
    <w:rPr>
      <w:rFonts w:ascii="Times New Roman" w:eastAsia="Times New Roman" w:hAnsi="Times New Roman"/>
      <w:sz w:val="24"/>
      <w:szCs w:val="24"/>
    </w:rPr>
  </w:style>
  <w:style w:type="paragraph" w:styleId="NoSpacing">
    <w:name w:val="No Spacing"/>
    <w:qFormat/>
    <w:rPr>
      <w:sz w:val="22"/>
      <w:szCs w:val="22"/>
      <w:lang w:val="bg-BG"/>
    </w:rPr>
  </w:style>
  <w:style w:type="paragraph" w:styleId="ListParagraph">
    <w:name w:val="List Paragraph"/>
    <w:basedOn w:val="Normal"/>
    <w:qFormat/>
    <w:pPr>
      <w:ind w:left="720"/>
      <w:contextualSpacing/>
    </w:pPr>
    <w:rPr>
      <w:rFonts w:ascii="Times New Roman" w:hAnsi="Times New Roman"/>
      <w:sz w:val="24"/>
    </w:rPr>
  </w:style>
  <w:style w:type="paragraph" w:customStyle="1" w:styleId="Style2">
    <w:name w:val="Style2"/>
    <w:basedOn w:val="Heading5"/>
    <w:link w:val="Style2CharChar"/>
    <w:pPr>
      <w:jc w:val="both"/>
      <w:outlineLvl w:val="9"/>
    </w:pPr>
    <w:rPr>
      <w:rFonts w:ascii="Times New Roman" w:hAnsi="Times New Roman"/>
      <w:color w:val="243F60"/>
      <w:sz w:val="24"/>
      <w:szCs w:val="24"/>
    </w:rPr>
  </w:style>
  <w:style w:type="paragraph" w:styleId="Revision">
    <w:name w:val="Revision"/>
    <w:rPr>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image" Target="media/image17.png"/><Relationship Id="rId21" Type="http://schemas.openxmlformats.org/officeDocument/2006/relationships/oleObject" Target="embeddings/oleObject7.bin"/><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1.png"/><Relationship Id="rId50" Type="http://schemas.openxmlformats.org/officeDocument/2006/relationships/oleObject" Target="embeddings/oleObject21.bin"/><Relationship Id="rId55" Type="http://schemas.openxmlformats.org/officeDocument/2006/relationships/image" Target="media/image25.png"/><Relationship Id="rId63" Type="http://schemas.openxmlformats.org/officeDocument/2006/relationships/image" Target="media/image29.png"/><Relationship Id="rId68" Type="http://schemas.openxmlformats.org/officeDocument/2006/relationships/oleObject" Target="embeddings/oleObject30.bin"/><Relationship Id="rId76" Type="http://schemas.openxmlformats.org/officeDocument/2006/relationships/oleObject" Target="embeddings/oleObject34.bin"/><Relationship Id="rId7" Type="http://schemas.openxmlformats.org/officeDocument/2006/relationships/endnotes" Target="endnotes.xml"/><Relationship Id="rId71" Type="http://schemas.openxmlformats.org/officeDocument/2006/relationships/image" Target="media/image33.png"/><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png"/><Relationship Id="rId32" Type="http://schemas.openxmlformats.org/officeDocument/2006/relationships/oleObject" Target="embeddings/oleObject12.bin"/><Relationship Id="rId37" Type="http://schemas.openxmlformats.org/officeDocument/2006/relationships/image" Target="media/image16.png"/><Relationship Id="rId40" Type="http://schemas.openxmlformats.org/officeDocument/2006/relationships/oleObject" Target="embeddings/oleObject16.bin"/><Relationship Id="rId45" Type="http://schemas.openxmlformats.org/officeDocument/2006/relationships/image" Target="media/image20.png"/><Relationship Id="rId53" Type="http://schemas.openxmlformats.org/officeDocument/2006/relationships/image" Target="media/image24.png"/><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oleObject" Target="embeddings/oleObject33.bin"/><Relationship Id="rId79" Type="http://schemas.openxmlformats.org/officeDocument/2006/relationships/image" Target="media/image37.png"/><Relationship Id="rId5" Type="http://schemas.openxmlformats.org/officeDocument/2006/relationships/webSettings" Target="webSettings.xml"/><Relationship Id="rId61" Type="http://schemas.openxmlformats.org/officeDocument/2006/relationships/image" Target="media/image28.png"/><Relationship Id="rId82"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oleObject" Target="embeddings/oleObject6.bin"/><Relationship Id="rId31" Type="http://schemas.openxmlformats.org/officeDocument/2006/relationships/image" Target="media/image13.png"/><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30.png"/><Relationship Id="rId73" Type="http://schemas.openxmlformats.org/officeDocument/2006/relationships/image" Target="media/image34.png"/><Relationship Id="rId78" Type="http://schemas.openxmlformats.org/officeDocument/2006/relationships/oleObject" Target="embeddings/oleObject35.bin"/><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oleObject" Target="embeddings/oleObject10.bin"/><Relationship Id="rId30" Type="http://schemas.openxmlformats.org/officeDocument/2006/relationships/image" Target="media/image12.png"/><Relationship Id="rId35" Type="http://schemas.openxmlformats.org/officeDocument/2006/relationships/image" Target="media/image15.png"/><Relationship Id="rId43" Type="http://schemas.openxmlformats.org/officeDocument/2006/relationships/image" Target="media/image19.png"/><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2.png"/><Relationship Id="rId77" Type="http://schemas.openxmlformats.org/officeDocument/2006/relationships/image" Target="media/image36.png"/><Relationship Id="rId8" Type="http://schemas.openxmlformats.org/officeDocument/2006/relationships/image" Target="media/image1.png"/><Relationship Id="rId51" Type="http://schemas.openxmlformats.org/officeDocument/2006/relationships/image" Target="media/image23.png"/><Relationship Id="rId72" Type="http://schemas.openxmlformats.org/officeDocument/2006/relationships/oleObject" Target="embeddings/oleObject32.bin"/><Relationship Id="rId80" Type="http://schemas.openxmlformats.org/officeDocument/2006/relationships/oleObject" Target="embeddings/oleObject36.bin"/><Relationship Id="rId3" Type="http://schemas.microsoft.com/office/2007/relationships/stylesWithEffects" Target="stylesWithEffects.xml"/><Relationship Id="rId12" Type="http://schemas.openxmlformats.org/officeDocument/2006/relationships/image" Target="media/image3.png"/><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4.png"/><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7.png"/><Relationship Id="rId67" Type="http://schemas.openxmlformats.org/officeDocument/2006/relationships/image" Target="media/image31.png"/><Relationship Id="rId20" Type="http://schemas.openxmlformats.org/officeDocument/2006/relationships/image" Target="media/image7.png"/><Relationship Id="rId41" Type="http://schemas.openxmlformats.org/officeDocument/2006/relationships/image" Target="media/image18.png"/><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5.png"/><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png"/><Relationship Id="rId36" Type="http://schemas.openxmlformats.org/officeDocument/2006/relationships/oleObject" Target="embeddings/oleObject14.bin"/><Relationship Id="rId49" Type="http://schemas.openxmlformats.org/officeDocument/2006/relationships/image" Target="media/image22.png"/><Relationship Id="rId57" Type="http://schemas.openxmlformats.org/officeDocument/2006/relationships/image" Target="media/image26.png"/></Relationships>
</file>

<file path=word/_rels/footnotes.xml.rels><?xml version="1.0" encoding="UTF-8" standalone="yes"?>
<Relationships xmlns="http://schemas.openxmlformats.org/package/2006/relationships"><Relationship Id="rId1" Type="http://schemas.openxmlformats.org/officeDocument/2006/relationships/hyperlink" Target="https://public.brra.bg/CheckUps/Verifications/VerificationPersonOrg.r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86</Pages>
  <Words>30960</Words>
  <Characters>176472</Characters>
  <Application>Microsoft Office Word</Application>
  <DocSecurity>0</DocSecurity>
  <PresentationFormat/>
  <Lines>1470</Lines>
  <Paragraphs>414</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Насрочвам за: </vt:lpstr>
    </vt:vector>
  </TitlesOfParts>
  <Company>KZK</Company>
  <LinksUpToDate>false</LinksUpToDate>
  <CharactersWithSpaces>207018</CharactersWithSpaces>
  <SharedDoc>false</SharedDoc>
  <HLinks>
    <vt:vector size="6" baseType="variant">
      <vt:variant>
        <vt:i4>6946850</vt:i4>
      </vt:variant>
      <vt:variant>
        <vt:i4>0</vt:i4>
      </vt:variant>
      <vt:variant>
        <vt:i4>0</vt:i4>
      </vt:variant>
      <vt:variant>
        <vt:i4>5</vt:i4>
      </vt:variant>
      <vt:variant>
        <vt:lpwstr>https://public.brra.bg/CheckUps/Verifications/VerificationPersonOrg.ra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Насрочвам за:</dc:title>
  <dc:creator>Svetlana Jordanova</dc:creator>
  <cp:lastModifiedBy>Nelly</cp:lastModifiedBy>
  <cp:revision>2</cp:revision>
  <cp:lastPrinted>2013-11-04T12:19:00Z</cp:lastPrinted>
  <dcterms:created xsi:type="dcterms:W3CDTF">2013-12-08T13:33:00Z</dcterms:created>
  <dcterms:modified xsi:type="dcterms:W3CDTF">2013-12-08T13:33:00Z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1033-8.1.0.3385</vt:lpwstr>
  </property>
</Properties>
</file>