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0AA" w:rsidRDefault="006640AA" w:rsidP="006640AA">
      <w:pPr>
        <w:pStyle w:val="TechnicalBlock"/>
        <w:ind w:left="-1134" w:right="-1134"/>
      </w:pPr>
      <w:bookmarkStart w:id="0" w:name="LW_BM_COVERPAGE"/>
    </w:p>
    <w:p w:rsidR="00A87136" w:rsidRDefault="00B709BC" w:rsidP="00DF3AAC">
      <w:pPr>
        <w:pStyle w:val="Pagedecouverture"/>
        <w:rPr>
          <w:noProof/>
        </w:rPr>
      </w:pPr>
      <w:bookmarkStart w:id="1" w:name="_GoBack"/>
      <w:bookmarkEnd w:id="1"/>
      <w:r>
        <w:rPr>
          <w:noProof/>
        </w:rPr>
        <w:drawing>
          <wp:inline distT="0" distB="0" distL="0" distR="0">
            <wp:extent cx="5724525" cy="5514975"/>
            <wp:effectExtent l="0" t="0" r="0" b="0"/>
            <wp:docPr id="2" name="Picture 2" descr="3AC39881-BDDD-4C4C-A276-7C881548E6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AC39881-BDDD-4C4C-A276-7C881548E6F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A87136" w:rsidRDefault="00A87136">
      <w:pPr>
        <w:rPr>
          <w:noProof/>
        </w:rPr>
        <w:sectPr w:rsidR="00A87136" w:rsidSect="00DF3A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-20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5748"/>
      </w:tblGrid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Actions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State of Play</w:t>
            </w:r>
          </w:p>
        </w:tc>
      </w:tr>
      <w:tr w:rsidR="00A87136">
        <w:tc>
          <w:tcPr>
            <w:tcW w:w="5000" w:type="pct"/>
            <w:gridSpan w:val="2"/>
            <w:shd w:val="clear" w:color="auto" w:fill="FFFF00"/>
          </w:tcPr>
          <w:p w:rsidR="00A87136" w:rsidRDefault="00DF3AA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I. A future-proof security environment (critical infrastructure, cybersecurity, public spaces)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Proposal for a Directive on the resilience of critical entities</w:t>
            </w:r>
          </w:p>
          <w:p w:rsidR="00A87136" w:rsidRDefault="00A871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To be adopted by Commission in December 2020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Review of NIS Directive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To be adopted  by Commission in December 2020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Cross-sectoral financial services act on operational and cyber resilience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Adopted by Commission  on 23.09.2020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 Resilience of critical energy infrastructure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Ongoing  consultation of relevant energy operators and Member States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Network code on cybersecurity for cross-border electricity flows 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COM adoption planned 2022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 European Cybersecurity Strategy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To be adopted  by Commission in December 2020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Amendment to EU judicial cooperation instruments in view of their digitalisation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COM adoption plan Q4 2021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Creation of a Joint Cyber Unit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Cybersecurity Strategy to be adopted December 2020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Common rules on information security and cybersecurity for EU institutions, bodies and agencies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COM adoption planned Q4 2021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Step up cooperation for the protection of public spaces, including spaces of worship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Counter-Terrorism Agenda for the EU, to be adopted on 9 December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2020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Sharing of best practices on addressing misuse of drones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Ongoing</w:t>
            </w:r>
          </w:p>
        </w:tc>
      </w:tr>
      <w:tr w:rsidR="00A87136" w:rsidRPr="006640AA">
        <w:tc>
          <w:tcPr>
            <w:tcW w:w="5000" w:type="pct"/>
            <w:gridSpan w:val="2"/>
            <w:shd w:val="clear" w:color="auto" w:fill="FFFF00"/>
          </w:tcPr>
          <w:p w:rsidR="00A87136" w:rsidRDefault="00DF3AA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IE"/>
              </w:rPr>
              <w:t>II. Tackling evolving threats (Cybercrime, modern law enforcement, illegal content online, hybrid threats)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Ensure full and fit-for purpose implementation of legislation on cybercrime (Directive 2013/40/EU)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Infringement proceedings and preparations for additional proceedings are ongoing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lastRenderedPageBreak/>
              <w:t>Enhance law enforcement / judiciary capacity in digital investigations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Digital Capacity Building action plan for law enforcement in preparation, to be adopted in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EU Strategy for fight against child sexual abuse 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Adopted by  Commission  on 24.07.2020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Proposals on detection and removal of child sexual abuse</w:t>
            </w:r>
          </w:p>
          <w:p w:rsidR="00A87136" w:rsidRDefault="00A871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3"/>
              </w:numPr>
              <w:spacing w:before="60" w:after="6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Short term proposal: Adopted by  Commission  on 10.09.2020</w:t>
            </w:r>
          </w:p>
          <w:p w:rsidR="00A87136" w:rsidRDefault="00DF3AAC">
            <w:pPr>
              <w:pStyle w:val="ListParagraph"/>
              <w:numPr>
                <w:ilvl w:val="0"/>
                <w:numId w:val="13"/>
              </w:numPr>
              <w:spacing w:before="60" w:after="6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Long term proposal: Work ongoing – adoption planned for Q2 2020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Set out an EU approach to countering hybrid threats: mainstream considerations on hybrid into policy making</w:t>
            </w:r>
          </w:p>
        </w:tc>
        <w:tc>
          <w:tcPr>
            <w:tcW w:w="2021" w:type="pct"/>
            <w:shd w:val="clear" w:color="auto" w:fill="auto"/>
          </w:tcPr>
          <w:p w:rsidR="00A87136" w:rsidRDefault="00A87136">
            <w:pPr>
              <w:ind w:left="36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Review of EU operational protocol for countering hybrid threats (EU Playbook) SWD(2016)227</w:t>
            </w:r>
          </w:p>
        </w:tc>
        <w:tc>
          <w:tcPr>
            <w:tcW w:w="2021" w:type="pct"/>
            <w:shd w:val="clear" w:color="auto" w:fill="auto"/>
          </w:tcPr>
          <w:p w:rsidR="00A87136" w:rsidRDefault="00A87136">
            <w:pPr>
              <w:ind w:left="36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Legislative proposal on the digitalisation of crossborder judicial cooperation (see Commission work programme for 2021)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ind w:left="36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To be adopted by the Commission in Q4 2021</w:t>
            </w:r>
          </w:p>
        </w:tc>
      </w:tr>
      <w:tr w:rsidR="00A87136" w:rsidRPr="006640AA">
        <w:tc>
          <w:tcPr>
            <w:tcW w:w="5000" w:type="pct"/>
            <w:gridSpan w:val="2"/>
            <w:shd w:val="clear" w:color="auto" w:fill="FFFF00"/>
          </w:tcPr>
          <w:p w:rsidR="00A87136" w:rsidRDefault="00DF3AAC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  <w:t>III. Protecting Europeans from terrorism and organised crime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A Counter-Terrorism Agenda for the EU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Adopted by Commission on 9.12.2020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Negotiations with third countries for cooperation with Europol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Negotiations with Turkey are ongoing. On 13 May 2020, the Council authorised the opening of negotiations with New Zealand.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IE"/>
              </w:rPr>
              <w:t>Opening of negotiations with 10 third countries for cooperation between the latter and Eurojust</w:t>
            </w:r>
          </w:p>
          <w:p w:rsidR="00A87136" w:rsidRDefault="00A87136">
            <w:pPr>
              <w:spacing w:after="0" w:line="240" w:lineRule="auto"/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Recommendation for the adoption of a Council Decision on authorising the negotiations with 10 third countries was sent to the Council on 19 November 2020, awaiting authorisation.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European Public Prosecutor’s Office (EPPO): Recommendation on cooperation agreements with selected third countries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IE"/>
              </w:rPr>
              <w:t>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ecommendation for the adoption of a Council Decision authorising the negotiations for the conclusion of cooperation agreements between the EPPO and selected third countries.</w:t>
            </w:r>
          </w:p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Adoption planned for Q2 2021</w:t>
            </w:r>
          </w:p>
        </w:tc>
      </w:tr>
      <w:tr w:rsidR="00A87136">
        <w:trPr>
          <w:trHeight w:val="297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MS Gothic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lastRenderedPageBreak/>
              <w:t>An Agenda on tackling organised crime, including trafficking in human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beings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Targeted consultations took place</w:t>
            </w:r>
          </w:p>
          <w:p w:rsidR="00A87136" w:rsidRDefault="00DF3AAC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Q1 2021</w:t>
            </w:r>
          </w:p>
          <w:p w:rsidR="00A87136" w:rsidRDefault="00A87136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87136">
        <w:trPr>
          <w:trHeight w:val="150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eastAsia="MS Gothic" w:hAnsi="Times New Roman" w:cs="Times New Roman"/>
                <w:bCs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EU Agenda on Drugs and Action Plan 2021-2025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Adopted by  Commission  on 24.07.2020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Revision of the mandate of the European Monitoring Centre for Drugs and Drug Addiction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Inception impact assessment published and feed-back period closed on 31. 07. 2020</w:t>
            </w:r>
          </w:p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Q1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 2020-2025 EU Action Plan on Firearms trafficking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Adopted by Commission on 24.07.2020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Commission report on the application of the Firearms Directive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Q1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Review of the Regulation on export authorisation, and import and transit measures for firearms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Q4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Review of Directive on freezing and confiscation  of proceeds of crime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Q4 2021</w:t>
            </w:r>
          </w:p>
        </w:tc>
      </w:tr>
      <w:tr w:rsidR="00A87136">
        <w:trPr>
          <w:trHeight w:val="50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Proposal for a Directive on Asset Recovery Offices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Adoption planned for Q3 2021</w:t>
            </w:r>
          </w:p>
        </w:tc>
      </w:tr>
      <w:tr w:rsidR="00A87136" w:rsidRPr="006640AA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Review of the Environmental Crime Directive 99/2008/EC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of a proposal planned for Q4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 xml:space="preserve">An EU Action Plan against Migrant Smuggling, 2021-2025  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Consultations ongoing</w:t>
            </w:r>
          </w:p>
          <w:p w:rsidR="00A87136" w:rsidRDefault="00DF3A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Q2 2021</w:t>
            </w:r>
          </w:p>
        </w:tc>
      </w:tr>
      <w:tr w:rsidR="00A87136" w:rsidRPr="006640AA">
        <w:tc>
          <w:tcPr>
            <w:tcW w:w="5000" w:type="pct"/>
            <w:gridSpan w:val="2"/>
            <w:shd w:val="clear" w:color="auto" w:fill="FFFF00"/>
          </w:tcPr>
          <w:p w:rsidR="00A87136" w:rsidRDefault="00DF3AAC">
            <w:pPr>
              <w:spacing w:after="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IE"/>
              </w:rPr>
              <w:t>IV. A strong European security ecosystem</w:t>
            </w:r>
          </w:p>
          <w:p w:rsidR="00A87136" w:rsidRDefault="00A87136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</w:p>
        </w:tc>
      </w:tr>
      <w:tr w:rsidR="00A87136">
        <w:trPr>
          <w:trHeight w:val="450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Strengthening the Europol mandate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Adopted by Commission on 09.12.2020</w:t>
            </w:r>
          </w:p>
        </w:tc>
      </w:tr>
      <w:tr w:rsidR="00A87136">
        <w:trPr>
          <w:trHeight w:val="273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Revision of the Prüm decisions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Adoption planned for Q2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An EU ‘Police Cooperation Code’ and police coordination in times of crisis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Q4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Revision of the Advance Passenger Information Directive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Q2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Digital information exchange on cross-border terrorism cases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Q4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IT collaboration platform for Joint Investigation Teams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Q4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Communication on the external dimension of Passenger Name Records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Roadmap published on 24.07.2020</w:t>
            </w:r>
          </w:p>
          <w:p w:rsidR="00A87136" w:rsidRDefault="00DF3AA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Q1 2021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Strengthening cooperation between the EU and Interpol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Adoption planned for Q1 2021 </w:t>
            </w:r>
          </w:p>
        </w:tc>
      </w:tr>
      <w:tr w:rsidR="00A87136"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A framework to negotiate with key third countries on sharing of information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planned for Q2 2022</w:t>
            </w:r>
          </w:p>
        </w:tc>
      </w:tr>
      <w:tr w:rsidR="00A87136" w:rsidRPr="006640AA">
        <w:trPr>
          <w:trHeight w:val="67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lastRenderedPageBreak/>
              <w:t>Better security standards for  identity cards and residence  documents (implementation of regulation 2019/1157)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Ongoing (Member States will start issuing identity cards and residence documents according to tighter  security standards as of August 2021)</w:t>
            </w:r>
          </w:p>
          <w:p w:rsidR="00A87136" w:rsidRDefault="00A87136">
            <w:pPr>
              <w:pStyle w:val="ListParagraph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87136">
        <w:trPr>
          <w:trHeight w:val="67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European Innovation hub for internal security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Report planned for Q4 2020</w:t>
            </w:r>
          </w:p>
        </w:tc>
      </w:tr>
      <w:tr w:rsidR="00A87136" w:rsidRPr="006640AA">
        <w:trPr>
          <w:trHeight w:val="67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Strengthening and improving of the exchange of criminal records information (ECRIS and ECRIS-TCN)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Adoption of the Report on the functioning of ECRIS planned for Q4 2020/ Q1 2021</w:t>
            </w:r>
          </w:p>
          <w:p w:rsidR="00A87136" w:rsidRDefault="00DF3A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Adoption of the implementing acts for ECRIS-TCN planned for 2021.</w:t>
            </w:r>
          </w:p>
        </w:tc>
      </w:tr>
      <w:tr w:rsidR="00A87136" w:rsidRPr="006640AA">
        <w:trPr>
          <w:trHeight w:val="67"/>
        </w:trPr>
        <w:tc>
          <w:tcPr>
            <w:tcW w:w="2979" w:type="pct"/>
            <w:shd w:val="clear" w:color="auto" w:fill="auto"/>
          </w:tcPr>
          <w:p w:rsidR="00A87136" w:rsidRDefault="00DF3AAC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European Cybersecurity Industrial, Technology and Research Competence Centre and Network of National Coordination Centres proposal Regulation</w:t>
            </w:r>
          </w:p>
        </w:tc>
        <w:tc>
          <w:tcPr>
            <w:tcW w:w="2021" w:type="pct"/>
            <w:shd w:val="clear" w:color="auto" w:fill="auto"/>
          </w:tcPr>
          <w:p w:rsidR="00A87136" w:rsidRDefault="00DF3A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Ongoing negotiations (subject to conclusion of negotiations and adoption of Regulation)</w:t>
            </w:r>
          </w:p>
        </w:tc>
      </w:tr>
    </w:tbl>
    <w:p w:rsidR="00A87136" w:rsidRDefault="00A87136">
      <w:pPr>
        <w:rPr>
          <w:noProof/>
          <w:lang w:val="en-IE"/>
        </w:rPr>
      </w:pPr>
    </w:p>
    <w:sectPr w:rsidR="00A8713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FC3" w:rsidRDefault="00227FC3">
      <w:pPr>
        <w:spacing w:after="0" w:line="240" w:lineRule="auto"/>
      </w:pPr>
      <w:r>
        <w:separator/>
      </w:r>
    </w:p>
  </w:endnote>
  <w:endnote w:type="continuationSeparator" w:id="0">
    <w:p w:rsidR="00227FC3" w:rsidRDefault="00227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0AA" w:rsidRPr="00DF3AAC" w:rsidRDefault="006640AA" w:rsidP="00DF3A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0AA" w:rsidRPr="00DF3AAC" w:rsidRDefault="006640AA" w:rsidP="00DF3AAC">
    <w:pPr>
      <w:pStyle w:val="FooterCoverPage"/>
      <w:rPr>
        <w:rFonts w:ascii="Arial" w:hAnsi="Arial" w:cs="Arial"/>
        <w:b/>
        <w:sz w:val="48"/>
      </w:rPr>
    </w:pPr>
    <w:r w:rsidRPr="00DF3AAC">
      <w:rPr>
        <w:rFonts w:ascii="Arial" w:hAnsi="Arial" w:cs="Arial"/>
        <w:b/>
        <w:sz w:val="48"/>
      </w:rPr>
      <w:t>EN</w:t>
    </w:r>
    <w:r w:rsidRPr="00DF3AAC">
      <w:rPr>
        <w:rFonts w:ascii="Arial" w:hAnsi="Arial" w:cs="Arial"/>
        <w:b/>
        <w:sz w:val="48"/>
      </w:rPr>
      <w:tab/>
    </w:r>
    <w:r w:rsidRPr="00DF3AAC">
      <w:rPr>
        <w:rFonts w:ascii="Arial" w:hAnsi="Arial" w:cs="Arial"/>
        <w:b/>
        <w:sz w:val="48"/>
      </w:rPr>
      <w:tab/>
    </w:r>
    <w:r w:rsidRPr="00DF3AAC">
      <w:tab/>
    </w:r>
    <w:r w:rsidRPr="00DF3AAC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0AA" w:rsidRPr="00DF3AAC" w:rsidRDefault="006640AA" w:rsidP="00DF3AAC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136" w:rsidRDefault="00A8713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1085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7136" w:rsidRDefault="00DF3A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3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136" w:rsidRDefault="00A87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FC3" w:rsidRDefault="00227FC3">
      <w:pPr>
        <w:spacing w:after="0" w:line="240" w:lineRule="auto"/>
      </w:pPr>
      <w:r>
        <w:separator/>
      </w:r>
    </w:p>
  </w:footnote>
  <w:footnote w:type="continuationSeparator" w:id="0">
    <w:p w:rsidR="00227FC3" w:rsidRDefault="00227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0AA" w:rsidRPr="00DF3AAC" w:rsidRDefault="006640AA" w:rsidP="00DF3A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0AA" w:rsidRPr="00DF3AAC" w:rsidRDefault="006640AA" w:rsidP="00DF3AAC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40AA" w:rsidRPr="00DF3AAC" w:rsidRDefault="006640AA" w:rsidP="00DF3AAC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136" w:rsidRDefault="00A8713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136" w:rsidRDefault="00A8713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7136" w:rsidRDefault="00A87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449D2"/>
    <w:multiLevelType w:val="hybridMultilevel"/>
    <w:tmpl w:val="08CCD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04352"/>
    <w:multiLevelType w:val="hybridMultilevel"/>
    <w:tmpl w:val="2B1EA7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DC320F"/>
    <w:multiLevelType w:val="hybridMultilevel"/>
    <w:tmpl w:val="F78C7A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77677F"/>
    <w:multiLevelType w:val="hybridMultilevel"/>
    <w:tmpl w:val="721E6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3668E"/>
    <w:multiLevelType w:val="hybridMultilevel"/>
    <w:tmpl w:val="320C6C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5C1208"/>
    <w:multiLevelType w:val="hybridMultilevel"/>
    <w:tmpl w:val="4E2439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AA576E"/>
    <w:multiLevelType w:val="hybridMultilevel"/>
    <w:tmpl w:val="B0E607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DB6947"/>
    <w:multiLevelType w:val="hybridMultilevel"/>
    <w:tmpl w:val="6A8E24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C02B97"/>
    <w:multiLevelType w:val="hybridMultilevel"/>
    <w:tmpl w:val="AE7E87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82569B"/>
    <w:multiLevelType w:val="hybridMultilevel"/>
    <w:tmpl w:val="43A6BB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EA3462"/>
    <w:multiLevelType w:val="hybridMultilevel"/>
    <w:tmpl w:val="7EB67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B0BD4"/>
    <w:multiLevelType w:val="hybridMultilevel"/>
    <w:tmpl w:val="B97099F4"/>
    <w:lvl w:ilvl="0" w:tplc="43F44B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029D7"/>
    <w:multiLevelType w:val="hybridMultilevel"/>
    <w:tmpl w:val="F558F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D1AC9"/>
    <w:multiLevelType w:val="hybridMultilevel"/>
    <w:tmpl w:val="4ED24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3"/>
  </w:num>
  <w:num w:numId="5">
    <w:abstractNumId w:val="1"/>
  </w:num>
  <w:num w:numId="6">
    <w:abstractNumId w:val="3"/>
  </w:num>
  <w:num w:numId="7">
    <w:abstractNumId w:val="5"/>
  </w:num>
  <w:num w:numId="8">
    <w:abstractNumId w:val="10"/>
  </w:num>
  <w:num w:numId="9">
    <w:abstractNumId w:val="12"/>
  </w:num>
  <w:num w:numId="10">
    <w:abstractNumId w:val="9"/>
  </w:num>
  <w:num w:numId="11">
    <w:abstractNumId w:val="0"/>
  </w:num>
  <w:num w:numId="12">
    <w:abstractNumId w:val="8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activeWritingStyle w:appName="MSWord" w:lang="fr-BE" w:vendorID="64" w:dllVersion="6" w:nlCheck="1" w:checkStyle="0"/>
  <w:activeWritingStyle w:appName="MSWord" w:lang="en-IE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n-IE" w:vendorID="64" w:dllVersion="4096" w:nlCheck="1" w:checkStyle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CoverPageOnWordDoc" w:val="true"/>
    <w:docVar w:name="DocStatus" w:val="Green"/>
    <w:docVar w:name="DocuWriteMetaData" w:val="&lt;metadataset docuwriteversion=&quot;4.4.3&quot; technicalblockguid=&quot;524182781918331103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64&quot; text=&quot;COVER NOTE&quot; /&gt;_x000d__x000a_    &lt;/basicdatatype&gt;_x000d__x000a_  &lt;/metadata&gt;_x000d__x000a_  &lt;metadata key=&quot;md_HeadingText&quot;&gt;_x000d__x000a_    &lt;headingtext text=&quot;COVER NOTE&quot;&gt;_x000d__x000a_      &lt;formattedtext&gt;_x000d__x000a_        &lt;xaml text=&quot;COVER NOTE&quot;&gt;&amp;lt;FlowDocument xmlns=&quot;http://schemas.microsoft.com/winfx/2006/xaml/presentation&quot;&amp;gt;&amp;lt;Paragraph&amp;gt;COVER NOTE&amp;lt;/Paragraph&amp;gt;&amp;lt;/FlowDocument&amp;gt;&lt;/xaml&gt;_x000d__x000a_      &lt;/formattedtext&gt;_x000d__x000a_    &lt;/headingtext&gt;_x000d__x000a_  &lt;/metadata&gt;_x000d__x000a_  &lt;metadata key=&quot;md_DocumentGroup&quot;&gt;_x000d__x000a_    &lt;basicdatatype&gt;_x000d__x000a_      &lt;document_group key=&quot;dg_12&quot; text=&quot;Cover Pag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0-12-23&lt;/text&gt;_x000d__x000a_  &lt;/metadata&gt;_x000d__x000a_  &lt;metadata key=&quot;md_Prefix&quot;&gt;_x000d__x000a_    &lt;text&gt;&lt;/text&gt;_x000d__x000a_  &lt;/metadata&gt;_x000d__x000a_  &lt;metadata key=&quot;md_DocumentNumber&quot;&gt;_x000d__x000a_    &lt;text&gt;14019&lt;/text&gt;_x000d__x000a_  &lt;/metadata&gt;_x000d__x000a_  &lt;metadata key=&quot;md_YearDocumentNumber&quot;&gt;_x000d__x000a_    &lt;text&gt;2020&lt;/text&gt;_x000d__x000a_  &lt;/metadata&gt;_x000d__x000a_  &lt;metadata key=&quot;md_Suffixes&quot;&gt;_x000d__x000a_    &lt;text&gt;REV 1 ADD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JAI 1110&lt;/text&gt;_x000d__x000a_      &lt;text&gt;COSI 250&lt;/text&gt;_x000d__x000a_      &lt;text&gt;ENFOPOL 348&lt;/text&gt;_x000d__x000a_      &lt;text&gt;ENFOCUSTOM 142&lt;/text&gt;_x000d__x000a_      &lt;text&gt;IXIM 138&lt;/text&gt;_x000d__x000a_      &lt;text&gt;CT 118&lt;/text&gt;_x000d__x000a_      &lt;text&gt;CRIMORG 119&lt;/text&gt;_x000d__x000a_      &lt;text&gt;FRONT 345&lt;/text&gt;_x000d__x000a_      &lt;text&gt;ASIM 95&lt;/text&gt;_x000d__x000a_      &lt;text&gt;VISA 139&lt;/text&gt;_x000d__x000a_      &lt;text&gt;CYBER 278&lt;/text&gt;_x000d__x000a_      &lt;text&gt;DATAPROTECT 151&lt;/text&gt;_x000d__x000a_      &lt;text&gt;CATS 104&lt;/text&gt;_x000d__x000a_      &lt;text&gt;DROIPEN 124&lt;/text&gt;_x000d__x000a_      &lt;text&gt;COPEN 384&lt;/text&gt;_x000d__x000a_      &lt;text&gt;FREMP 146&lt;/text&gt;_x000d__x000a_      &lt;text&gt;JAIEX 119&lt;/text&gt;_x000d__x000a_      &lt;text&gt;CFSP/PESC 1121&lt;/text&gt;_x000d__x000a_      &lt;text&gt;COPS 478&lt;/text&gt;_x000d__x000a_      &lt;text&gt;HYBRID 46&lt;/text&gt;_x000d__x000a_      &lt;text&gt;DISINFO 47&lt;/text&gt;_x000d__x000a_      &lt;text&gt;TELECOM 264&lt;/text&gt;_x000d__x000a_      &lt;text&gt;DIGIT 151&lt;/text&gt;_x000d__x000a_      &lt;text&gt;COMPET 633&lt;/text&gt;_x000d__x000a_      &lt;text&gt;RECH 522&lt;/text&gt;_x000d__x000a_    &lt;/textlist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06&quot; text=&quot;Other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or_33&quot; text=&quot;Secretary-General of the European Commission, signed by Ms Martine DEPREZ, Director&quot; /&gt;_x000d__x000a_    &lt;/basicdatatype&gt;_x000d__x000a_  &lt;/metadata&gt;_x000d__x000a_  &lt;metadata key=&quot;md_Recipient&quot;&gt;_x000d__x000a_    &lt;basicdatatype&gt;_x000d__x000a_      &lt;recipient key=&quot;re_02&quot; text=&quot;Mr Jeppe TRANHOLM-MIKKELSEN, Secretary-General of the Council of the European Union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&gt;_x000d__x000a_      &lt;text&gt;COM(2020) 797 final/2&lt;/text&gt;_x000d__x000a_    &lt;/textlist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ANNEX to the COMMUNICATION FROM THE COMMISSION TO THE EUROPEAN PARLIAMENT AND THE COUNCIL First Progress Report on the EU Security Union Strategy Implementation Roadmap&quot;&gt;&amp;lt;FlowDocument FontFamily=&quot;Segoe UI&quot; FontSize=&quot;12&quot; PagePadding=&quot;2,2,2,2&quot; AllowDrop=&quot;False&quot; xmlns=&quot;http://schemas.microsoft.com/winfx/2006/xaml/presentation&quot;&amp;gt;&amp;lt;Paragraph&amp;gt;ANNEX to the COMMUNICATION FROM THE COMMISSION TO THE EUROPEAN PARLIAMENT AND THE COUNCIL First Progress Report on the EU Security Union Strategy Implementation Roadmap&amp;lt;/Paragraph&amp;gt;&amp;lt;/FlowDocument&amp;gt;&lt;/xaml&gt;_x000d__x000a_  &lt;/metadata&gt;_x000d__x000a_  &lt;metadata key=&quot;md_SubjectFootnote&quot; /&gt;_x000d__x000a_  &lt;metadata key=&quot;md_DG&quot;&gt;_x000d__x000a_    &lt;text&gt;JAI.1&lt;/text&gt;_x000d__x000a_  &lt;/metadata&gt;_x000d__x000a_  &lt;metadata key=&quot;md_Initials&quot;&gt;_x000d__x000a_    &lt;text&gt;RS/sc&lt;/text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0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0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EN&lt;/text&gt;_x000d__x000a_  &lt;/metadata&gt;_x000d__x000a_  &lt;metadata key=&quot;md_SourceDocType&quot;&gt;_x000d__x000a_    &lt;text&gt;ANNEX_x000d__x000a_&lt;/text&gt;_x000d__x000a_  &lt;/metadata&gt;_x000d__x000a_  &lt;metadata key=&quot;md_SourceDocTitle&quot;&gt;_x000d__x000a_    &lt;text&gt;to the _x000d__x000a_COMMUNICATION FROM THE COMMISSION TO THE EUROPEAN PARLIAMENT AND THE COUNCIL _x000d__x000a_First Progress Report on the EU Security Union Strategy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_x000d__x000a_Implementation Roadmap&lt;/text&gt;_x000d__x000a_  &lt;/metadata&gt;_x000d__x000a_  &lt;metadata key=&quot;md_SourceDocIsCECDoc&quot;&gt;_x000d__x000a_    &lt;text&gt;true&lt;/text&gt;_x000d__x000a_  &lt;/metadata&gt;_x000d__x000a_  &lt;metadata key=&quot;md_NB1&quot; /&gt;_x000d__x000a_  &lt;metadata key=&quot;md_NB2&quot; /&gt;_x000d__x000a_  &lt;metadata key=&quot;md_NB3&quot; /&gt;_x000d__x000a_  &lt;metadata key=&quot;md_NB4&quot; /&gt;_x000d__x000a_  &lt;metadata key=&quot;md_CustomNB&quot; /&gt;_x000d__x000a_  &lt;metadata key=&quot;md_Meetings&quot;&gt;_x000d__x000a_    &lt;meetings /&gt;_x000d__x000a_  &lt;/metadata&gt;_x000d__x000a_  &lt;metadata key=&quot;md_VisualRepresentation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LW_ACCOMPAGNANT.CP" w:val="to the 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3AC39881-BDDD-4C4C-A276-7C881548E6F6"/>
    <w:docVar w:name="LW_COVERPAGE_TYPE" w:val="1"/>
    <w:docVar w:name="LW_CROSSREFERENCE" w:val="&lt;UNUSED&gt;"/>
    <w:docVar w:name="LW_DocType" w:val="NORMAL"/>
    <w:docVar w:name="LW_EMISSION" w:val="9.12.2020"/>
    <w:docVar w:name="LW_EMISSION_ISODATE" w:val="2020-12-09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First Progress Report on the EU Security Union Strategy_x000d__x000d__x000d__x000d__x000d__x000d__x000b__x000d__x000d__x000d__x000d__x000d__x000d__x000b__x000d__x000d__x000d__x000d__x000d__x000d__x000b__x000d__x000d__x000d__x000d__x000d__x000d__x000b__x000d__x000d_Implementation Roadmap"/>
    <w:docVar w:name="LW_PART_NBR" w:val="1"/>
    <w:docVar w:name="LW_PART_NBR_TOTAL" w:val="1"/>
    <w:docVar w:name="LW_REF.INST.NEW" w:val="COM"/>
    <w:docVar w:name="LW_REF.INST.NEW_ADOPTED" w:val="final/2"/>
    <w:docVar w:name="LW_REF.INST.NEW_TEXT" w:val="(2020) 797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COMMUNICATION FROM THE COMMISSION TO THE EUROPEAN PARLIAMENT AND THE COUNCIL"/>
  </w:docVars>
  <w:rsids>
    <w:rsidRoot w:val="00A87136"/>
    <w:rsid w:val="00227FC3"/>
    <w:rsid w:val="006640AA"/>
    <w:rsid w:val="00714251"/>
    <w:rsid w:val="00A87136"/>
    <w:rsid w:val="00B709BC"/>
    <w:rsid w:val="00DF3AAC"/>
    <w:rsid w:val="00F6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  <w:ind w:left="48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6640AA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ind w:left="0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fr-B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fr-B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  <w:jc w:val="left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  <w:lang w:val="fr-BE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  <w:lang w:val="fr-BE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ind w:left="0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  <w:lang w:val="fr-BE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  <w:lang w:val="fr-BE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 w:line="240" w:lineRule="auto"/>
      <w:ind w:left="0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sz w:val="28"/>
      <w:lang w:val="fr-BE"/>
    </w:rPr>
  </w:style>
  <w:style w:type="paragraph" w:styleId="ListParagraph">
    <w:name w:val="List Paragraph"/>
    <w:aliases w:val="Task Body,Viñetas (Inicio Parrafo),3 Txt tabla,Zerrenda-paragrafoa,Lista multicolor - Énfasis 11,Fiche List Paragraph,List Paragraph compact,Dot pt,F5 List Paragraph,List Paragraph1,No Spacing1,List Paragraph Char Char Char,Indicator Text"/>
    <w:basedOn w:val="Normal"/>
    <w:link w:val="ListParagraphChar"/>
    <w:uiPriority w:val="34"/>
    <w:qFormat/>
    <w:pPr>
      <w:spacing w:after="200" w:line="276" w:lineRule="auto"/>
      <w:ind w:left="720"/>
      <w:contextualSpacing/>
      <w:jc w:val="left"/>
    </w:pPr>
    <w:rPr>
      <w:lang w:val="en-GB"/>
    </w:rPr>
  </w:style>
  <w:style w:type="character" w:customStyle="1" w:styleId="ListParagraphChar">
    <w:name w:val="List Paragraph Char"/>
    <w:aliases w:val="Task Body Char,Viñetas (Inicio Parrafo) Char,3 Txt tabla Char,Zerrenda-paragrafoa Char,Lista multicolor - Énfasis 11 Char,Fiche List Paragraph Char,List Paragraph compact Char,Dot pt Char,F5 List Paragraph Char,List Paragraph1 Char"/>
    <w:link w:val="ListParagraph"/>
    <w:uiPriority w:val="34"/>
    <w:qFormat/>
    <w:lock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fr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fr-B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fr-BE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240" w:lineRule="auto"/>
      <w:ind w:left="0"/>
    </w:pPr>
    <w:rPr>
      <w:rFonts w:ascii="Times New Roman" w:hAnsi="Times New Roman" w:cs="Times New Roman"/>
      <w:sz w:val="24"/>
    </w:rPr>
  </w:style>
  <w:style w:type="paragraph" w:customStyle="1" w:styleId="SecurityMarking">
    <w:name w:val="SecurityMarking"/>
    <w:basedOn w:val="Normal"/>
    <w:pPr>
      <w:spacing w:after="0" w:line="276" w:lineRule="auto"/>
      <w:ind w:left="5103"/>
      <w:jc w:val="left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pPr>
      <w:spacing w:after="0" w:line="276" w:lineRule="auto"/>
      <w:ind w:left="5103"/>
      <w:jc w:val="left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pPr>
      <w:spacing w:after="0" w:line="276" w:lineRule="auto"/>
      <w:ind w:left="5103"/>
      <w:jc w:val="left"/>
    </w:pPr>
    <w:rPr>
      <w:rFonts w:ascii="Times New Roman" w:hAnsi="Times New Roman" w:cs="Times New Roman"/>
      <w:i/>
      <w:sz w:val="28"/>
    </w:rPr>
  </w:style>
  <w:style w:type="paragraph" w:customStyle="1" w:styleId="TechnicalBlock">
    <w:name w:val="Technical Block"/>
    <w:basedOn w:val="Normal"/>
    <w:link w:val="TechnicalBlockChar"/>
    <w:rsid w:val="006640AA"/>
    <w:pPr>
      <w:spacing w:line="240" w:lineRule="auto"/>
      <w:jc w:val="center"/>
    </w:pPr>
  </w:style>
  <w:style w:type="character" w:customStyle="1" w:styleId="TechnicalBlockChar">
    <w:name w:val="Technical Block Char"/>
    <w:basedOn w:val="DefaultParagraphFont"/>
    <w:link w:val="TechnicalBlock"/>
    <w:rsid w:val="006640AA"/>
    <w:rPr>
      <w:lang w:val="fr-BE"/>
    </w:rPr>
  </w:style>
  <w:style w:type="paragraph" w:customStyle="1" w:styleId="EntText">
    <w:name w:val="EntText"/>
    <w:basedOn w:val="Normal"/>
    <w:rsid w:val="006640AA"/>
    <w:pPr>
      <w:spacing w:before="120" w:after="120"/>
      <w:ind w:left="0"/>
      <w:jc w:val="left"/>
    </w:pPr>
    <w:rPr>
      <w:rFonts w:ascii="Times New Roman" w:hAnsi="Times New Roman" w:cs="Times New Roman"/>
      <w:sz w:val="24"/>
    </w:rPr>
  </w:style>
  <w:style w:type="paragraph" w:customStyle="1" w:styleId="Lignefinal">
    <w:name w:val="Ligne final"/>
    <w:basedOn w:val="Normal"/>
    <w:next w:val="Normal"/>
    <w:rsid w:val="006640AA"/>
    <w:pPr>
      <w:pBdr>
        <w:bottom w:val="single" w:sz="4" w:space="0" w:color="000000"/>
      </w:pBdr>
      <w:spacing w:before="360" w:after="120"/>
      <w:ind w:left="3400" w:right="3400"/>
      <w:jc w:val="center"/>
    </w:pPr>
    <w:rPr>
      <w:rFonts w:ascii="Times New Roman" w:hAnsi="Times New Roman" w:cs="Times New Roman"/>
      <w:b/>
      <w:sz w:val="24"/>
    </w:rPr>
  </w:style>
  <w:style w:type="paragraph" w:customStyle="1" w:styleId="pj">
    <w:name w:val="p.j."/>
    <w:basedOn w:val="Normal"/>
    <w:link w:val="pjChar"/>
    <w:rsid w:val="006640AA"/>
    <w:pPr>
      <w:spacing w:before="1200" w:after="120" w:line="240" w:lineRule="auto"/>
      <w:ind w:left="1440" w:hanging="1440"/>
      <w:jc w:val="left"/>
    </w:pPr>
    <w:rPr>
      <w:rFonts w:ascii="Times New Roman" w:hAnsi="Times New Roman" w:cs="Times New Roman"/>
      <w:sz w:val="24"/>
    </w:rPr>
  </w:style>
  <w:style w:type="character" w:customStyle="1" w:styleId="pjChar">
    <w:name w:val="p.j. Char"/>
    <w:basedOn w:val="TechnicalBlockChar"/>
    <w:link w:val="pj"/>
    <w:rsid w:val="006640AA"/>
    <w:rPr>
      <w:rFonts w:ascii="Times New Roman" w:hAnsi="Times New Roman" w:cs="Times New Roman"/>
      <w:sz w:val="24"/>
      <w:lang w:val="fr-BE"/>
    </w:rPr>
  </w:style>
  <w:style w:type="paragraph" w:customStyle="1" w:styleId="nbbordered">
    <w:name w:val="nb bordered"/>
    <w:basedOn w:val="Normal"/>
    <w:link w:val="nbborderedChar"/>
    <w:rsid w:val="006640A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after="160"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customStyle="1" w:styleId="nbborderedChar">
    <w:name w:val="nb bordered Char"/>
    <w:basedOn w:val="TechnicalBlockChar"/>
    <w:link w:val="nbbordered"/>
    <w:rsid w:val="006640AA"/>
    <w:rPr>
      <w:rFonts w:ascii="Times New Roman" w:hAnsi="Times New Roman" w:cs="Times New Roman"/>
      <w:b/>
      <w:sz w:val="24"/>
      <w:lang w:val="fr-BE"/>
    </w:rPr>
  </w:style>
  <w:style w:type="paragraph" w:customStyle="1" w:styleId="HeaderCouncil">
    <w:name w:val="Header Council"/>
    <w:basedOn w:val="Normal"/>
    <w:link w:val="HeaderCouncilChar"/>
    <w:rsid w:val="006640AA"/>
    <w:pPr>
      <w:spacing w:after="0"/>
    </w:pPr>
    <w:rPr>
      <w:noProof/>
      <w:sz w:val="2"/>
      <w:lang w:val="en-GB"/>
    </w:rPr>
  </w:style>
  <w:style w:type="character" w:customStyle="1" w:styleId="HeaderCouncilChar">
    <w:name w:val="Header Council Char"/>
    <w:basedOn w:val="DefaultParagraphFont"/>
    <w:link w:val="HeaderCouncil"/>
    <w:rsid w:val="006640AA"/>
    <w:rPr>
      <w:noProof/>
      <w:sz w:val="2"/>
    </w:rPr>
  </w:style>
  <w:style w:type="paragraph" w:customStyle="1" w:styleId="HeaderCouncilLarge">
    <w:name w:val="Header Council Large"/>
    <w:basedOn w:val="Normal"/>
    <w:link w:val="HeaderCouncilLargeChar"/>
    <w:rsid w:val="006640AA"/>
    <w:pPr>
      <w:spacing w:after="440"/>
    </w:pPr>
    <w:rPr>
      <w:noProof/>
      <w:sz w:val="2"/>
      <w:lang w:val="en-GB"/>
    </w:rPr>
  </w:style>
  <w:style w:type="character" w:customStyle="1" w:styleId="HeaderCouncilLargeChar">
    <w:name w:val="Header Council Large Char"/>
    <w:basedOn w:val="DefaultParagraphFont"/>
    <w:link w:val="HeaderCouncilLarge"/>
    <w:rsid w:val="006640AA"/>
    <w:rPr>
      <w:noProof/>
      <w:sz w:val="2"/>
    </w:rPr>
  </w:style>
  <w:style w:type="paragraph" w:customStyle="1" w:styleId="FooterCouncil">
    <w:name w:val="Footer Council"/>
    <w:basedOn w:val="Normal"/>
    <w:link w:val="FooterCouncilChar"/>
    <w:rsid w:val="006640AA"/>
    <w:pPr>
      <w:spacing w:after="0"/>
    </w:pPr>
    <w:rPr>
      <w:noProof/>
      <w:sz w:val="2"/>
      <w:lang w:val="en-GB"/>
    </w:rPr>
  </w:style>
  <w:style w:type="character" w:customStyle="1" w:styleId="FooterCouncilChar">
    <w:name w:val="Footer Council Char"/>
    <w:basedOn w:val="DefaultParagraphFont"/>
    <w:link w:val="FooterCouncil"/>
    <w:rsid w:val="006640AA"/>
    <w:rPr>
      <w:noProof/>
      <w:sz w:val="2"/>
    </w:rPr>
  </w:style>
  <w:style w:type="paragraph" w:customStyle="1" w:styleId="FooterText">
    <w:name w:val="Footer Text"/>
    <w:basedOn w:val="Normal"/>
    <w:rsid w:val="006640AA"/>
    <w:pPr>
      <w:spacing w:after="0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6640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CAB00-D422-4DDD-BD63-39293D2E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2020-12-24T10:21:00Z</dcterms:created>
  <dcterms:modified xsi:type="dcterms:W3CDTF">2020-12-24T10:21:00Z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tatus">
    <vt:lpwstr>Green</vt:lpwstr>
  </property>
  <property fmtid="{D5CDD505-2E9C-101B-9397-08002B2CF9AE}" pid="3" name="Level of sensitivity">
    <vt:lpwstr>Standard treatment</vt:lpwstr>
  </property>
  <property fmtid="{D5CDD505-2E9C-101B-9397-08002B2CF9AE}" pid="4" name="Last edited using">
    <vt:lpwstr>DocuWrite 4.4.3, Build 20201021</vt:lpwstr>
  </property>
  <property fmtid="{D5CDD505-2E9C-101B-9397-08002B2CF9AE}" pid="5" name="First annex">
    <vt:lpwstr>2</vt:lpwstr>
  </property>
  <property fmtid="{D5CDD505-2E9C-101B-9397-08002B2CF9AE}" pid="6" name="Last annex">
    <vt:lpwstr>2</vt:lpwstr>
  </property>
  <property fmtid="{D5CDD505-2E9C-101B-9397-08002B2CF9AE}" pid="7" name="Unique annex">
    <vt:lpwstr>0</vt:lpwstr>
  </property>
  <property fmtid="{D5CDD505-2E9C-101B-9397-08002B2CF9AE}" pid="8" name="Part">
    <vt:lpwstr>1</vt:lpwstr>
  </property>
  <property fmtid="{D5CDD505-2E9C-101B-9397-08002B2CF9AE}" pid="9" name="Total parts">
    <vt:lpwstr>1</vt:lpwstr>
  </property>
  <property fmtid="{D5CDD505-2E9C-101B-9397-08002B2CF9AE}" pid="10" name="CPTemplateID">
    <vt:lpwstr>CP-039</vt:lpwstr>
  </property>
  <property fmtid="{D5CDD505-2E9C-101B-9397-08002B2CF9AE}" pid="11" name="Created using">
    <vt:lpwstr>DocuWrite 4.4.3, Build 20201021</vt:lpwstr>
  </property>
</Properties>
</file>