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2751" w:rsidRDefault="003A3B5A" w:rsidP="009D1084">
      <w:pPr>
        <w:pStyle w:val="Pagedecouverture"/>
        <w:rPr>
          <w:noProof/>
        </w:rPr>
      </w:pPr>
      <w:bookmarkStart w:id="0" w:name="LW_BM_COVERPAGE"/>
      <w:bookmarkStart w:id="1" w:name="_GoBack"/>
      <w:bookmarkEnd w:id="1"/>
      <w:r>
        <w:rPr>
          <w:noProof/>
        </w:rPr>
        <w:drawing>
          <wp:inline distT="0" distB="0" distL="0" distR="0">
            <wp:extent cx="5724525" cy="4067175"/>
            <wp:effectExtent l="0" t="0" r="0" b="0"/>
            <wp:docPr id="4" name="Picture 2" descr="795A138C-084C-4E26-BDA8-F6F4726F2DD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95A138C-084C-4E26-BDA8-F6F4726F2DD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4525" cy="4067175"/>
                    </a:xfrm>
                    <a:prstGeom prst="rect">
                      <a:avLst/>
                    </a:prstGeom>
                    <a:noFill/>
                    <a:ln>
                      <a:noFill/>
                    </a:ln>
                  </pic:spPr>
                </pic:pic>
              </a:graphicData>
            </a:graphic>
          </wp:inline>
        </w:drawing>
      </w:r>
    </w:p>
    <w:bookmarkEnd w:id="0"/>
    <w:p w:rsidR="00872751" w:rsidRDefault="00872751">
      <w:pPr>
        <w:spacing w:line="240" w:lineRule="auto"/>
        <w:rPr>
          <w:noProof/>
        </w:rPr>
        <w:sectPr w:rsidR="00872751" w:rsidSect="009D108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rsidR="00872751" w:rsidRDefault="008477BD">
      <w:pPr>
        <w:spacing w:after="0" w:line="240" w:lineRule="auto"/>
        <w:rPr>
          <w:rFonts w:ascii="Times New Roman" w:hAnsi="Times New Roman"/>
          <w:b/>
          <w:noProof/>
          <w:sz w:val="24"/>
        </w:rPr>
      </w:pPr>
      <w:r>
        <w:rPr>
          <w:rFonts w:ascii="Times New Roman" w:hAnsi="Times New Roman" w:cs="Times New Roman"/>
          <w:b/>
          <w:bCs/>
          <w:noProof/>
          <w:sz w:val="24"/>
          <w:szCs w:val="24"/>
        </w:rPr>
        <w:lastRenderedPageBreak/>
        <w:t>I</w:t>
      </w:r>
      <w:r>
        <w:rPr>
          <w:rFonts w:ascii="Times New Roman" w:hAnsi="Times New Roman" w:cs="Times New Roman"/>
          <w:b/>
          <w:noProof/>
          <w:sz w:val="24"/>
          <w:szCs w:val="24"/>
        </w:rPr>
        <w:tab/>
      </w:r>
      <w:r>
        <w:rPr>
          <w:rFonts w:ascii="Times New Roman" w:hAnsi="Times New Roman" w:cs="Times New Roman"/>
          <w:b/>
          <w:bCs/>
          <w:noProof/>
          <w:sz w:val="24"/>
          <w:szCs w:val="24"/>
        </w:rPr>
        <w:t>INTRODUCTION</w:t>
      </w:r>
    </w:p>
    <w:p w:rsidR="00872751" w:rsidRDefault="00872751">
      <w:pPr>
        <w:spacing w:after="0" w:line="240" w:lineRule="auto"/>
        <w:rPr>
          <w:rFonts w:ascii="Times New Roman" w:hAnsi="Times New Roman" w:cs="Times New Roman"/>
          <w:b/>
          <w:noProof/>
          <w:sz w:val="24"/>
          <w:szCs w:val="24"/>
        </w:rPr>
      </w:pP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Security is one of the major concerns of citizens and t</w:t>
      </w:r>
      <w:r>
        <w:rPr>
          <w:rFonts w:ascii="Times New Roman" w:hAnsi="Times New Roman"/>
          <w:noProof/>
          <w:sz w:val="24"/>
          <w:szCs w:val="24"/>
        </w:rPr>
        <w:t xml:space="preserve">he recent spate of terrorist attacks on European soil have underlined still further the need for EU action. </w:t>
      </w:r>
      <w:r>
        <w:rPr>
          <w:rFonts w:ascii="Times New Roman" w:hAnsi="Times New Roman" w:cs="Times New Roman"/>
          <w:noProof/>
          <w:sz w:val="24"/>
          <w:szCs w:val="24"/>
        </w:rPr>
        <w:t xml:space="preserve">On 24 July 2020, the Commission adopted an </w:t>
      </w:r>
      <w:hyperlink r:id="rId15" w:tgtFrame="_blank" w:history="1">
        <w:r>
          <w:rPr>
            <w:rFonts w:ascii="Times New Roman" w:hAnsi="Times New Roman" w:cs="Times New Roman"/>
            <w:b/>
            <w:bCs/>
            <w:noProof/>
            <w:sz w:val="24"/>
            <w:szCs w:val="24"/>
          </w:rPr>
          <w:t>EU Security Union Strategy</w:t>
        </w:r>
      </w:hyperlink>
      <w:r>
        <w:rPr>
          <w:rFonts w:ascii="Times New Roman" w:hAnsi="Times New Roman" w:cs="Times New Roman"/>
          <w:b/>
          <w:bCs/>
          <w:noProof/>
          <w:sz w:val="24"/>
          <w:szCs w:val="24"/>
        </w:rPr>
        <w:t xml:space="preserve"> 2020-2025</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to target action on priority areas where the EU can bring added value to national efforts. It builds upon progress achieved previously under the European </w:t>
      </w:r>
      <w:hyperlink r:id="rId16" w:tgtFrame="_blank" w:history="1">
        <w:r>
          <w:rPr>
            <w:rFonts w:ascii="Times New Roman" w:hAnsi="Times New Roman" w:cs="Times New Roman"/>
            <w:noProof/>
            <w:sz w:val="24"/>
            <w:szCs w:val="24"/>
          </w:rPr>
          <w:t>Agenda on Security</w:t>
        </w:r>
      </w:hyperlink>
      <w:r>
        <w:rPr>
          <w:rFonts w:ascii="Times New Roman" w:hAnsi="Times New Roman" w:cs="Times New Roman"/>
          <w:noProof/>
          <w:sz w:val="24"/>
          <w:szCs w:val="24"/>
        </w:rPr>
        <w:t xml:space="preserve"> 2015-2020</w:t>
      </w:r>
      <w:r>
        <w:rPr>
          <w:rStyle w:val="FootnoteReference"/>
          <w:rFonts w:ascii="Times New Roman" w:hAnsi="Times New Roman" w:cs="Times New Roman"/>
          <w:noProof/>
          <w:sz w:val="24"/>
          <w:szCs w:val="24"/>
        </w:rPr>
        <w:footnoteReference w:id="3"/>
      </w:r>
      <w:r>
        <w:rPr>
          <w:rFonts w:ascii="Times New Roman" w:hAnsi="Times New Roman" w:cs="Times New Roman"/>
          <w:noProof/>
          <w:sz w:val="24"/>
          <w:szCs w:val="24"/>
        </w:rPr>
        <w:t xml:space="preserve"> and provides a new focus, to ensure that EU security policy reflects the changing threat landscape; that it builds long-term, sustainable resilience; that it engages the EU institutions and agencies, governments, the private sector and individuals in a whole-of-society approach; and that it brings together the many policy areas with a direct impact on security. Full respect of fundamental rights is at the heart of this work, as the security of the Union can only be ensured when everyone is confident that their fundamental rights are fully respected.</w:t>
      </w:r>
    </w:p>
    <w:p w:rsidR="00872751" w:rsidRDefault="008477BD">
      <w:pPr>
        <w:spacing w:after="120" w:line="240" w:lineRule="auto"/>
        <w:jc w:val="both"/>
        <w:rPr>
          <w:rFonts w:ascii="Times New Roman" w:hAnsi="Times New Roman"/>
          <w:noProof/>
          <w:sz w:val="24"/>
        </w:rPr>
      </w:pPr>
      <w:r>
        <w:rPr>
          <w:rFonts w:ascii="Times New Roman" w:hAnsi="Times New Roman"/>
          <w:noProof/>
          <w:sz w:val="24"/>
          <w:szCs w:val="24"/>
        </w:rPr>
        <w:t xml:space="preserve">The threat of trans-national terrorist networks is a vivid reminder that coordinated EU action is indispensable to effective action to protect Europeans, upholding our common values and our European way of life. This is emblematic of how </w:t>
      </w:r>
      <w:r>
        <w:rPr>
          <w:rFonts w:ascii="Times New Roman" w:hAnsi="Times New Roman" w:cs="Times New Roman"/>
          <w:noProof/>
          <w:sz w:val="24"/>
          <w:szCs w:val="24"/>
        </w:rPr>
        <w:t>increasingly complex cross-border and cross-sectorial security threats have emerged, making closer cooperation on security at all levels ever more essential. This is true for o</w:t>
      </w:r>
      <w:r>
        <w:rPr>
          <w:rFonts w:ascii="Times New Roman" w:hAnsi="Times New Roman"/>
          <w:noProof/>
          <w:sz w:val="24"/>
          <w:szCs w:val="24"/>
        </w:rPr>
        <w:t>rganised crime or the drugs trade – it is also true for the digital world, with cyber-attacks and cybercrime continuing to rise</w:t>
      </w:r>
      <w:r>
        <w:rPr>
          <w:rFonts w:ascii="Times New Roman" w:hAnsi="Times New Roman" w:cs="Times New Roman"/>
          <w:noProof/>
          <w:sz w:val="24"/>
          <w:szCs w:val="24"/>
        </w:rPr>
        <w:t>. All these challenges also apply beyond our borders, with a clear inter-connection between internal and external security. The COVID-19 crisis has also put European security into sharp focus, testing the resilience of Europe's critical infrastructure, crisis preparedness, strategic value chains and crisis management systems, as well as the resilience of our societies vis-à-vis manipulative interference and disinformation.</w:t>
      </w:r>
    </w:p>
    <w:p w:rsidR="00872751" w:rsidRDefault="008477BD">
      <w:pPr>
        <w:spacing w:after="240" w:line="240" w:lineRule="auto"/>
        <w:jc w:val="both"/>
        <w:rPr>
          <w:rFonts w:ascii="Times New Roman" w:hAnsi="Times New Roman"/>
          <w:noProof/>
          <w:sz w:val="24"/>
        </w:rPr>
      </w:pPr>
      <w:r>
        <w:rPr>
          <w:rFonts w:ascii="Times New Roman" w:hAnsi="Times New Roman" w:cs="Times New Roman"/>
          <w:noProof/>
          <w:sz w:val="24"/>
          <w:szCs w:val="24"/>
        </w:rPr>
        <w:t xml:space="preserve">The Security Union Strategy is composed of four strategic priorities for action at EU level: a future-proof security environment, tackling evolving threats, protecting Europe from terrorism and organised crime, and a strong European security ecosystem. Central to the strategy is implementation, and this is the core theme of this report: implementation which requires the full engagement of the national authorities in the front line of security in the EU. </w:t>
      </w:r>
      <w:r>
        <w:rPr>
          <w:rFonts w:ascii="Times New Roman" w:hAnsi="Times New Roman"/>
          <w:noProof/>
          <w:sz w:val="24"/>
          <w:szCs w:val="24"/>
        </w:rPr>
        <w:t>This report is the first implementation report under the Strategy, fulfilling the commitment made by the Commission to regularly report on progress</w:t>
      </w:r>
      <w:r>
        <w:rPr>
          <w:rStyle w:val="FootnoteReference"/>
          <w:rFonts w:ascii="Times New Roman" w:hAnsi="Times New Roman"/>
          <w:noProof/>
          <w:sz w:val="24"/>
          <w:szCs w:val="24"/>
        </w:rPr>
        <w:footnoteReference w:id="4"/>
      </w:r>
      <w:r>
        <w:rPr>
          <w:rFonts w:ascii="Times New Roman" w:hAnsi="Times New Roman"/>
          <w:noProof/>
          <w:sz w:val="24"/>
          <w:szCs w:val="24"/>
        </w:rPr>
        <w:t>. It covers the period from 31 October 2019, when the last Security Union Progress Report was published under the previous Commission mandate</w:t>
      </w:r>
      <w:r>
        <w:rPr>
          <w:rStyle w:val="FootnoteReference"/>
          <w:rFonts w:ascii="Times New Roman" w:hAnsi="Times New Roman"/>
          <w:noProof/>
          <w:sz w:val="24"/>
          <w:szCs w:val="24"/>
        </w:rPr>
        <w:footnoteReference w:id="5"/>
      </w:r>
      <w:r>
        <w:rPr>
          <w:rFonts w:ascii="Times New Roman" w:hAnsi="Times New Roman"/>
          <w:noProof/>
          <w:sz w:val="24"/>
          <w:szCs w:val="24"/>
        </w:rPr>
        <w:t xml:space="preserve">. </w:t>
      </w:r>
    </w:p>
    <w:p w:rsidR="00872751" w:rsidRDefault="008477BD">
      <w:pPr>
        <w:spacing w:before="360" w:after="240" w:line="240" w:lineRule="auto"/>
        <w:rPr>
          <w:rFonts w:ascii="Times New Roman" w:hAnsi="Times New Roman"/>
          <w:b/>
          <w:noProof/>
          <w:sz w:val="24"/>
        </w:rPr>
      </w:pPr>
      <w:r>
        <w:rPr>
          <w:rFonts w:ascii="Times New Roman" w:hAnsi="Times New Roman" w:cs="Times New Roman"/>
          <w:b/>
          <w:bCs/>
          <w:noProof/>
          <w:sz w:val="24"/>
          <w:szCs w:val="24"/>
        </w:rPr>
        <w:t>II</w:t>
      </w:r>
      <w:r>
        <w:rPr>
          <w:rFonts w:ascii="Times New Roman" w:hAnsi="Times New Roman" w:cs="Times New Roman"/>
          <w:b/>
          <w:noProof/>
          <w:sz w:val="24"/>
          <w:szCs w:val="24"/>
        </w:rPr>
        <w:tab/>
      </w:r>
      <w:r>
        <w:rPr>
          <w:rFonts w:ascii="Times New Roman" w:hAnsi="Times New Roman" w:cs="Times New Roman"/>
          <w:b/>
          <w:bCs/>
          <w:noProof/>
          <w:sz w:val="24"/>
          <w:szCs w:val="24"/>
        </w:rPr>
        <w:t>A FUTURE-PROOF SECURITY ENVIRONMENT</w:t>
      </w:r>
    </w:p>
    <w:p w:rsidR="00872751" w:rsidRDefault="008477BD">
      <w:pPr>
        <w:pStyle w:val="ListParagraph"/>
        <w:numPr>
          <w:ilvl w:val="0"/>
          <w:numId w:val="26"/>
        </w:numPr>
        <w:spacing w:after="120" w:line="240" w:lineRule="auto"/>
        <w:jc w:val="both"/>
        <w:rPr>
          <w:noProof/>
        </w:rPr>
      </w:pPr>
      <w:r>
        <w:rPr>
          <w:rFonts w:ascii="Times New Roman" w:hAnsi="Times New Roman" w:cs="Times New Roman"/>
          <w:b/>
          <w:bCs/>
          <w:i/>
          <w:iCs/>
          <w:noProof/>
          <w:sz w:val="24"/>
          <w:szCs w:val="24"/>
        </w:rPr>
        <w:t>Critical Infrastructure protection and resilience</w:t>
      </w:r>
    </w:p>
    <w:p w:rsidR="00872751" w:rsidRDefault="008477BD">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The daily lives of citizens rely on an ever more interconnected and interdependent physical and digital infrastructure. This infrastructure is vital for the functioning of the economy and of society. Without reliable supplies of energy, predictable transportation, comprehensive health systems or a digitally-driven financial network, our current way of life would not be possible. The COVID-19 pandemic has shown even more clearly the importance of </w:t>
      </w:r>
      <w:r>
        <w:rPr>
          <w:rFonts w:ascii="Times New Roman" w:hAnsi="Times New Roman" w:cs="Times New Roman"/>
          <w:b/>
          <w:bCs/>
          <w:noProof/>
          <w:sz w:val="24"/>
          <w:szCs w:val="24"/>
        </w:rPr>
        <w:t>ensuring the resilience of critical sectors and operators</w:t>
      </w:r>
      <w:r>
        <w:rPr>
          <w:rFonts w:ascii="Times New Roman" w:hAnsi="Times New Roman" w:cs="Times New Roman"/>
          <w:noProof/>
          <w:sz w:val="24"/>
          <w:szCs w:val="24"/>
        </w:rPr>
        <w:t xml:space="preserve">. The EU has recognised the common </w:t>
      </w:r>
      <w:r>
        <w:rPr>
          <w:rFonts w:ascii="Times New Roman" w:hAnsi="Times New Roman" w:cs="Times New Roman"/>
          <w:noProof/>
          <w:sz w:val="24"/>
          <w:szCs w:val="24"/>
        </w:rPr>
        <w:lastRenderedPageBreak/>
        <w:t>interest in protecting critical infrastructure from threats, whether natural or man-made disasters, or terrorist attacks. The current threat picture facing critical infrastructures is wide-ranging. It includes: terrorism, hybrid actions, cyber-attacks, insider incidents; threats associated with new and emerging technologies (such as drones, 5G, artificial intelligence); climate change related challenges; disruption of supply chains; and election interference. Our current rules need modernising and expanding</w:t>
      </w:r>
      <w:r>
        <w:rPr>
          <w:rStyle w:val="FootnoteReference"/>
          <w:rFonts w:ascii="Times New Roman" w:eastAsia="Times New Roman" w:hAnsi="Times New Roman" w:cs="Times New Roman"/>
          <w:noProof/>
          <w:sz w:val="24"/>
          <w:szCs w:val="24"/>
        </w:rPr>
        <w:footnoteReference w:id="6"/>
      </w:r>
      <w:r>
        <w:rPr>
          <w:rFonts w:ascii="Times New Roman" w:hAnsi="Times New Roman" w:cs="Times New Roman"/>
          <w:noProof/>
          <w:sz w:val="24"/>
          <w:szCs w:val="24"/>
        </w:rPr>
        <w:t xml:space="preserve">. They need to shift the </w:t>
      </w:r>
      <w:r>
        <w:rPr>
          <w:rFonts w:ascii="Times New Roman" w:eastAsia="Times New Roman" w:hAnsi="Times New Roman" w:cs="Times New Roman"/>
          <w:noProof/>
          <w:sz w:val="24"/>
          <w:szCs w:val="24"/>
        </w:rPr>
        <w:t>focus from protection to resilience, bringing more coherence and consistency in sectoral coverage and focusing on critical entities delivering essential services.</w:t>
      </w:r>
    </w:p>
    <w:p w:rsidR="00872751" w:rsidRDefault="008477BD">
      <w:pPr>
        <w:spacing w:line="240" w:lineRule="auto"/>
        <w:jc w:val="both"/>
        <w:rPr>
          <w:rFonts w:ascii="Times New Roman" w:hAnsi="Times New Roman"/>
          <w:i/>
          <w:noProof/>
          <w:sz w:val="24"/>
        </w:rPr>
      </w:pPr>
      <w:r>
        <w:rPr>
          <w:rFonts w:ascii="Times New Roman" w:eastAsia="Times New Roman" w:hAnsi="Times New Roman" w:cs="Times New Roman"/>
          <w:noProof/>
          <w:sz w:val="24"/>
          <w:szCs w:val="24"/>
        </w:rPr>
        <w:t xml:space="preserve">This will be the goal of forthcoming proposals to promote the resilience of </w:t>
      </w:r>
      <w:r>
        <w:rPr>
          <w:rFonts w:ascii="Times New Roman" w:eastAsia="Times New Roman" w:hAnsi="Times New Roman" w:cs="Times New Roman"/>
          <w:b/>
          <w:bCs/>
          <w:noProof/>
          <w:sz w:val="24"/>
          <w:szCs w:val="24"/>
        </w:rPr>
        <w:t>physical and digital infrastructures</w:t>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 xml:space="preserve">The overall objective is to increase preparedness at national and EU level by building up robust capabilities to prevent, detect, respond to and mitigate threats, and to be prepared to act in crisis. Existing legislation has been able to increase and improve risk management in critical sectors; this needs to be stepped up. </w:t>
      </w:r>
      <w:r>
        <w:rPr>
          <w:rFonts w:ascii="Times New Roman" w:hAnsi="Times New Roman" w:cs="Times New Roman"/>
          <w:noProof/>
          <w:sz w:val="24"/>
          <w:szCs w:val="24"/>
        </w:rPr>
        <w:t xml:space="preserve">A key objective of the revised Critical Infrastructure Directive will be to promote a high common level of resilience in a sufficient range of key sectors. Similarly, updating the Network and Information Systems (NIS) Directive will target more </w:t>
      </w:r>
      <w:r>
        <w:rPr>
          <w:rFonts w:ascii="Times New Roman" w:eastAsia="Times New Roman" w:hAnsi="Times New Roman" w:cs="Times New Roman"/>
          <w:noProof/>
          <w:sz w:val="24"/>
          <w:szCs w:val="24"/>
        </w:rPr>
        <w:t>consistency in Member States’ identification of the ‘operators of essential services’</w:t>
      </w:r>
      <w:r>
        <w:rPr>
          <w:rStyle w:val="FootnoteReference"/>
          <w:rFonts w:ascii="Times New Roman" w:eastAsia="Times New Roman" w:hAnsi="Times New Roman" w:cs="Times New Roman"/>
          <w:noProof/>
          <w:sz w:val="24"/>
          <w:szCs w:val="24"/>
        </w:rPr>
        <w:footnoteReference w:id="7"/>
      </w:r>
      <w:r>
        <w:rPr>
          <w:rFonts w:ascii="Times New Roman" w:eastAsia="Times New Roman" w:hAnsi="Times New Roman" w:cs="Times New Roman"/>
          <w:noProof/>
          <w:sz w:val="24"/>
          <w:szCs w:val="24"/>
        </w:rPr>
        <w:t>. More generally, despite considerable progress, cybersecurity capabilities in the Member States are still uneven so the revision will seek to drive more cybersecurity in general</w:t>
      </w:r>
      <w:r>
        <w:rPr>
          <w:rStyle w:val="FootnoteReference"/>
          <w:rFonts w:ascii="Times New Roman" w:eastAsia="Times New Roman" w:hAnsi="Times New Roman" w:cs="Times New Roman"/>
          <w:noProof/>
          <w:sz w:val="24"/>
          <w:szCs w:val="24"/>
        </w:rPr>
        <w:footnoteReference w:id="8"/>
      </w:r>
      <w:r>
        <w:rPr>
          <w:rFonts w:ascii="Times New Roman" w:eastAsia="Times New Roman" w:hAnsi="Times New Roman" w:cs="Times New Roman"/>
          <w:noProof/>
          <w:sz w:val="24"/>
          <w:szCs w:val="24"/>
        </w:rPr>
        <w:t xml:space="preserve">. The result will be greater and more coherent approaches to the resilience for physical and digital infrastructure.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work is progressing toward this more coherent framework, </w:t>
      </w:r>
      <w:r>
        <w:rPr>
          <w:rFonts w:ascii="Times New Roman" w:hAnsi="Times New Roman" w:cs="Times New Roman"/>
          <w:b/>
          <w:bCs/>
          <w:noProof/>
          <w:sz w:val="24"/>
          <w:szCs w:val="24"/>
        </w:rPr>
        <w:t>sectoral initiatives</w:t>
      </w:r>
      <w:r>
        <w:rPr>
          <w:rFonts w:ascii="Times New Roman" w:hAnsi="Times New Roman" w:cs="Times New Roman"/>
          <w:noProof/>
          <w:sz w:val="24"/>
          <w:szCs w:val="24"/>
        </w:rPr>
        <w:t xml:space="preserve"> complement this work and target specific vulnerabilities. The specific challenges of cybersecurity for the energy sector are now being taken forward on the basis of the 2019 Commission Recommendation,</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taking into account the characteristics of the sector such as the real-time requirements, the risk of cascading effects, and the combination of legacy systems with new technologies. Work is ongoing on a dedicated network code on cybersecurity for cross-border flows of electricity, as well as on the resilience protection and cybersecurity of critical energy infrastructure. The </w:t>
      </w:r>
      <w:r>
        <w:rPr>
          <w:rFonts w:ascii="Times New Roman" w:eastAsia="Times New Roman" w:hAnsi="Times New Roman" w:cs="Times New Roman"/>
          <w:noProof/>
          <w:sz w:val="24"/>
          <w:szCs w:val="24"/>
        </w:rPr>
        <w:t xml:space="preserve">Thematic Network for Critical Energy Infrastructure Protection was also re-launched, with a renewed focus and objectives, and met for the first time in June 2020, with over 100 online participants. This Network provides a platform to foster cross-border collaboration among critical energy infrastructure operators and owners in the energy sector. </w:t>
      </w:r>
    </w:p>
    <w:p w:rsidR="00872751" w:rsidRDefault="008477BD">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To provide a common starting point for Member States’ collaboration in </w:t>
      </w:r>
      <w:r>
        <w:rPr>
          <w:rFonts w:ascii="Times New Roman" w:eastAsia="Times New Roman" w:hAnsi="Times New Roman" w:cs="Times New Roman"/>
          <w:b/>
          <w:bCs/>
          <w:noProof/>
          <w:sz w:val="24"/>
          <w:szCs w:val="24"/>
        </w:rPr>
        <w:t>risk preparedness in the electricity sector</w:t>
      </w:r>
      <w:r>
        <w:rPr>
          <w:rFonts w:ascii="Times New Roman" w:eastAsia="Times New Roman" w:hAnsi="Times New Roman" w:cs="Times New Roman"/>
          <w:noProof/>
          <w:sz w:val="24"/>
          <w:szCs w:val="24"/>
        </w:rPr>
        <w:t>, in September 2020 the European Network of Transmission System Operators for electricity set out the most relevant regional electricity crisis scenario as provided in the risk preparedness regulation</w:t>
      </w:r>
      <w:r>
        <w:rPr>
          <w:rStyle w:val="FootnoteReference"/>
          <w:rFonts w:ascii="Times New Roman" w:eastAsia="Times New Roman" w:hAnsi="Times New Roman" w:cs="Times New Roman"/>
          <w:noProof/>
          <w:sz w:val="24"/>
          <w:szCs w:val="24"/>
        </w:rPr>
        <w:footnoteReference w:id="10"/>
      </w:r>
      <w:r>
        <w:rPr>
          <w:rFonts w:ascii="Times New Roman" w:eastAsia="Times New Roman" w:hAnsi="Times New Roman" w:cs="Times New Roman"/>
          <w:noProof/>
          <w:sz w:val="24"/>
          <w:szCs w:val="24"/>
        </w:rPr>
        <w:t>. These include cyber-attacks as well as pandemic and extreme weather events. Member States will prepare national crisis scenarios and risk preparedness plans to prevent and mitigate electricity crises (first drafts are due in April 2021). To contribute to this process, a set of good practices were issued in June 2020</w:t>
      </w:r>
      <w:r>
        <w:rPr>
          <w:rStyle w:val="FootnoteReference"/>
          <w:rFonts w:ascii="Times New Roman" w:eastAsia="Times New Roman" w:hAnsi="Times New Roman" w:cs="Times New Roman"/>
          <w:noProof/>
          <w:sz w:val="24"/>
          <w:szCs w:val="24"/>
        </w:rPr>
        <w:footnoteReference w:id="11"/>
      </w:r>
      <w:r>
        <w:rPr>
          <w:rFonts w:ascii="Times New Roman" w:eastAsia="Times New Roman" w:hAnsi="Times New Roman" w:cs="Times New Roman"/>
          <w:noProof/>
          <w:sz w:val="24"/>
          <w:szCs w:val="24"/>
        </w:rPr>
        <w:t xml:space="preserve">, based on the close monitoring of the impact of COVID-19 on the energy sector through the </w:t>
      </w:r>
      <w:r>
        <w:rPr>
          <w:rFonts w:ascii="Times New Roman" w:eastAsia="Times New Roman" w:hAnsi="Times New Roman" w:cs="Times New Roman"/>
          <w:noProof/>
          <w:sz w:val="24"/>
          <w:szCs w:val="24"/>
        </w:rPr>
        <w:lastRenderedPageBreak/>
        <w:t>Electricity, Gas and Oil Coordination Groups, as well as the European Nuclear Safety Regulators Group and the European Offshore Authorities Group.</w:t>
      </w:r>
    </w:p>
    <w:p w:rsidR="00872751" w:rsidRDefault="008477BD">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The growing and sophisticated reliance on digital processes in the delivery of financial services also calls for increasing the level of cyber-security in the </w:t>
      </w:r>
      <w:r>
        <w:rPr>
          <w:rFonts w:ascii="Times New Roman" w:eastAsia="Times New Roman" w:hAnsi="Times New Roman" w:cs="Times New Roman"/>
          <w:b/>
          <w:bCs/>
          <w:noProof/>
          <w:sz w:val="24"/>
          <w:szCs w:val="24"/>
        </w:rPr>
        <w:t>financial sector</w:t>
      </w:r>
      <w:r>
        <w:rPr>
          <w:rFonts w:ascii="Times New Roman" w:eastAsia="Times New Roman" w:hAnsi="Times New Roman" w:cs="Times New Roman"/>
          <w:noProof/>
          <w:sz w:val="24"/>
          <w:szCs w:val="24"/>
        </w:rPr>
        <w:t>. While the security of ICT systems is recognised as an integral part of risk management for financial entities, this has not yet been fully reflected in the EU financial services regulatory landscape. On 24 September 2020 the Commission adopted its Digital Finance Strategy package</w:t>
      </w:r>
      <w:r>
        <w:rPr>
          <w:rStyle w:val="FootnoteReference"/>
          <w:rFonts w:ascii="Times New Roman" w:eastAsia="Times New Roman" w:hAnsi="Times New Roman" w:cs="Times New Roman"/>
          <w:noProof/>
          <w:sz w:val="24"/>
          <w:szCs w:val="24"/>
        </w:rPr>
        <w:footnoteReference w:id="12"/>
      </w:r>
      <w:r>
        <w:rPr>
          <w:rFonts w:ascii="Times New Roman" w:eastAsia="Times New Roman" w:hAnsi="Times New Roman" w:cs="Times New Roman"/>
          <w:noProof/>
          <w:sz w:val="24"/>
          <w:szCs w:val="24"/>
        </w:rPr>
        <w:t>, with the clear objective of addressing challenges and risks associated with the digital transformation, promoting resilience, data protection and appropriate prudential supervision. This included a legislative proposal on digital operational resilience</w:t>
      </w:r>
      <w:r>
        <w:rPr>
          <w:rStyle w:val="FootnoteReference"/>
          <w:rFonts w:ascii="Times New Roman" w:eastAsia="Times New Roman" w:hAnsi="Times New Roman" w:cs="Times New Roman"/>
          <w:noProof/>
          <w:sz w:val="24"/>
          <w:szCs w:val="24"/>
        </w:rPr>
        <w:footnoteReference w:id="13"/>
      </w:r>
      <w:r>
        <w:rPr>
          <w:rFonts w:ascii="Times New Roman" w:eastAsia="Times New Roman" w:hAnsi="Times New Roman" w:cs="Times New Roman"/>
          <w:noProof/>
          <w:sz w:val="24"/>
          <w:szCs w:val="24"/>
        </w:rPr>
        <w:t>, to ensure that safeguards are in place to mitigate cyber-attacks and other risks</w:t>
      </w:r>
      <w:r>
        <w:rPr>
          <w:rStyle w:val="FootnoteReference"/>
          <w:rFonts w:ascii="Times New Roman" w:eastAsia="Times New Roman" w:hAnsi="Times New Roman" w:cs="Times New Roman"/>
          <w:noProof/>
          <w:sz w:val="24"/>
          <w:szCs w:val="24"/>
        </w:rPr>
        <w:footnoteReference w:id="14"/>
      </w:r>
      <w:r>
        <w:rPr>
          <w:rFonts w:ascii="Times New Roman" w:eastAsia="Times New Roman" w:hAnsi="Times New Roman" w:cs="Times New Roman"/>
          <w:noProof/>
          <w:sz w:val="24"/>
          <w:szCs w:val="24"/>
        </w:rPr>
        <w:t>. This initiative contributes to a strong and vibrant European digital finance sector and thus strengthens Europe's ability to reinforce its open strategic autonomy in financial services and, by extension, its capacity to regulate and supervise the financial system to protect Europe's financial stability.</w:t>
      </w:r>
    </w:p>
    <w:p w:rsidR="00872751" w:rsidRDefault="008477BD">
      <w:pPr>
        <w:spacing w:after="120" w:line="240" w:lineRule="auto"/>
        <w:jc w:val="both"/>
        <w:rPr>
          <w:rFonts w:ascii="Times New Roman" w:hAnsi="Times New Roman"/>
          <w:noProof/>
          <w:sz w:val="24"/>
        </w:rPr>
      </w:pPr>
      <w:r>
        <w:rPr>
          <w:rFonts w:ascii="Times New Roman" w:hAnsi="Times New Roman" w:cs="Times New Roman"/>
          <w:noProof/>
          <w:sz w:val="24"/>
          <w:szCs w:val="24"/>
        </w:rPr>
        <w:t>During large-scale emergencies, the high degree of interdependence between sectors and countries require a coordinated action to ensure a rapid and effective response, as well as better prevention and preparedness for similar situations in the future. In the revision of the Union Civil Protection Mechanism Decision</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the Commission has proposed</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 xml:space="preserve"> the development of </w:t>
      </w:r>
      <w:r>
        <w:rPr>
          <w:rFonts w:ascii="Times New Roman" w:hAnsi="Times New Roman" w:cs="Times New Roman"/>
          <w:b/>
          <w:bCs/>
          <w:noProof/>
          <w:sz w:val="24"/>
          <w:szCs w:val="24"/>
        </w:rPr>
        <w:t>disaster resilience goals</w:t>
      </w:r>
      <w:r>
        <w:rPr>
          <w:rFonts w:ascii="Times New Roman" w:hAnsi="Times New Roman" w:cs="Times New Roman"/>
          <w:noProof/>
          <w:sz w:val="24"/>
          <w:szCs w:val="24"/>
        </w:rPr>
        <w:t xml:space="preserve"> and </w:t>
      </w:r>
      <w:r>
        <w:rPr>
          <w:rFonts w:ascii="Times New Roman" w:hAnsi="Times New Roman" w:cs="Times New Roman"/>
          <w:b/>
          <w:bCs/>
          <w:noProof/>
          <w:sz w:val="24"/>
          <w:szCs w:val="24"/>
        </w:rPr>
        <w:t>resilience planning,</w:t>
      </w:r>
      <w:r>
        <w:rPr>
          <w:rFonts w:ascii="Times New Roman" w:hAnsi="Times New Roman" w:cs="Times New Roman"/>
          <w:noProof/>
          <w:sz w:val="24"/>
          <w:szCs w:val="24"/>
        </w:rPr>
        <w:t xml:space="preserve"> with a reinforced focus on building longer-term cross-sectoral resilience to transboundary disasters. The proposed new resilience building approach complements disaster risk management work at national level. On 26 November, the Council reached an agreement on a negotiating mandate to strengthen disaster prevention, preparedness and response, based on the Commission proposal of 2 June 2020</w:t>
      </w:r>
      <w:r>
        <w:rPr>
          <w:rStyle w:val="FootnoteReference"/>
          <w:rFonts w:ascii="Times New Roman" w:hAnsi="Times New Roman" w:cs="Times New Roman"/>
          <w:noProof/>
          <w:sz w:val="24"/>
          <w:szCs w:val="24"/>
        </w:rPr>
        <w:footnoteReference w:id="17"/>
      </w:r>
      <w:r>
        <w:rPr>
          <w:rFonts w:ascii="Times New Roman" w:hAnsi="Times New Roman" w:cs="Times New Roman"/>
          <w:noProof/>
          <w:sz w:val="24"/>
          <w:szCs w:val="24"/>
        </w:rPr>
        <w:t>.</w:t>
      </w:r>
    </w:p>
    <w:p w:rsidR="00872751" w:rsidRDefault="008477BD">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COVID-19 pandemic has demonstrated the impact of health crisis on security at the EU and global levels, and highlighted the need to step up preparedness and response planning for epidemics and other serious cross-border health threats. The Commission’s package of 11 November 2020 on “</w:t>
      </w:r>
      <w:r>
        <w:rPr>
          <w:rFonts w:ascii="Times New Roman" w:eastAsia="Times New Roman" w:hAnsi="Times New Roman" w:cs="Times New Roman"/>
          <w:b/>
          <w:bCs/>
          <w:noProof/>
          <w:sz w:val="24"/>
          <w:szCs w:val="24"/>
        </w:rPr>
        <w:t>Building a European Health Union</w:t>
      </w:r>
      <w:r>
        <w:rPr>
          <w:rFonts w:ascii="Times New Roman" w:eastAsia="Times New Roman" w:hAnsi="Times New Roman" w:cs="Times New Roman"/>
          <w:noProof/>
          <w:sz w:val="24"/>
          <w:szCs w:val="24"/>
        </w:rPr>
        <w:t>: Reinforcing the EU’s resilience” set out the next steps to tackle cross-border health threats. This would bring a reinforced framework for cross-border cooperation against all health threats and included three legislative proposals: to upgrade the legislation on serious cross-border health threats, and to strengthen the European Centre for Disease Prevention and Control (ECDC) and the European Medicines Agency (EMA). Together, these proposals will put in place a robust and cost-effective framework to put the EU and member States on a more secure footing when responding to future health crises.</w:t>
      </w:r>
    </w:p>
    <w:p w:rsidR="00872751" w:rsidRDefault="008477BD">
      <w:pPr>
        <w:spacing w:line="240" w:lineRule="auto"/>
        <w:jc w:val="both"/>
        <w:rPr>
          <w:rFonts w:ascii="Times New Roman" w:eastAsia="Times New Roman" w:hAnsi="Times New Roman" w:cs="Times New Roman"/>
          <w:noProof/>
          <w:sz w:val="24"/>
          <w:szCs w:val="24"/>
          <w:lang w:val="en-IE"/>
        </w:rPr>
      </w:pPr>
      <w:r>
        <w:rPr>
          <w:rFonts w:ascii="Times New Roman" w:hAnsi="Times New Roman" w:cs="Times New Roman"/>
          <w:noProof/>
          <w:sz w:val="24"/>
          <w:szCs w:val="24"/>
        </w:rPr>
        <w:t xml:space="preserve">A key element to protect key EU and national digital assets is to offer critical infrastructures a channel for </w:t>
      </w:r>
      <w:r>
        <w:rPr>
          <w:rFonts w:ascii="Times New Roman" w:hAnsi="Times New Roman" w:cs="Times New Roman"/>
          <w:b/>
          <w:bCs/>
          <w:noProof/>
          <w:sz w:val="24"/>
          <w:szCs w:val="24"/>
        </w:rPr>
        <w:t>secure communications</w:t>
      </w:r>
      <w:r>
        <w:rPr>
          <w:rFonts w:ascii="Times New Roman" w:hAnsi="Times New Roman" w:cs="Times New Roman"/>
          <w:noProof/>
          <w:sz w:val="24"/>
          <w:szCs w:val="24"/>
        </w:rPr>
        <w:t>.</w:t>
      </w:r>
      <w:r>
        <w:rPr>
          <w:rFonts w:ascii="Times New Roman" w:eastAsia="Times New Roman" w:hAnsi="Times New Roman" w:cs="Times New Roman"/>
          <w:noProof/>
          <w:sz w:val="24"/>
          <w:szCs w:val="24"/>
          <w:lang w:val="en-IE" w:eastAsia="en-GB"/>
        </w:rPr>
        <w:t xml:space="preserve"> This is supported by the development of a network </w:t>
      </w:r>
      <w:r>
        <w:rPr>
          <w:rFonts w:ascii="Times New Roman" w:eastAsia="Times New Roman" w:hAnsi="Times New Roman" w:cs="Times New Roman"/>
          <w:noProof/>
          <w:sz w:val="24"/>
          <w:szCs w:val="24"/>
          <w:lang w:val="en-IE" w:eastAsia="en-GB"/>
        </w:rPr>
        <w:lastRenderedPageBreak/>
        <w:t>infrastructure for secure and resilient Governmental Satellite Communications as a component of the EU Space programme.</w:t>
      </w:r>
    </w:p>
    <w:p w:rsidR="00872751" w:rsidRDefault="008477BD">
      <w:pPr>
        <w:pStyle w:val="ListParagraph"/>
        <w:numPr>
          <w:ilvl w:val="0"/>
          <w:numId w:val="26"/>
        </w:numPr>
        <w:spacing w:before="240" w:after="120" w:line="240" w:lineRule="auto"/>
        <w:ind w:left="714" w:hanging="357"/>
        <w:contextualSpacing w:val="0"/>
        <w:jc w:val="both"/>
        <w:rPr>
          <w:rFonts w:ascii="Times New Roman" w:hAnsi="Times New Roman" w:cs="Times New Roman"/>
          <w:noProof/>
          <w:sz w:val="24"/>
          <w:szCs w:val="24"/>
        </w:rPr>
      </w:pPr>
      <w:r>
        <w:rPr>
          <w:rFonts w:ascii="Times New Roman" w:hAnsi="Times New Roman" w:cs="Times New Roman"/>
          <w:b/>
          <w:bCs/>
          <w:i/>
          <w:iCs/>
          <w:noProof/>
          <w:sz w:val="24"/>
          <w:szCs w:val="24"/>
        </w:rPr>
        <w:t>Cybersecurity</w:t>
      </w:r>
    </w:p>
    <w:tbl>
      <w:tblPr>
        <w:tblStyle w:val="TableGrid"/>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7"/>
        <w:gridCol w:w="5387"/>
      </w:tblGrid>
      <w:tr w:rsidR="00872751">
        <w:trPr>
          <w:trHeight w:val="5646"/>
        </w:trPr>
        <w:tc>
          <w:tcPr>
            <w:tcW w:w="4077" w:type="dxa"/>
          </w:tcPr>
          <w:p w:rsidR="00872751" w:rsidRDefault="008477BD">
            <w:pPr>
              <w:spacing w:after="120"/>
              <w:jc w:val="both"/>
              <w:rPr>
                <w:rFonts w:ascii="Times New Roman" w:eastAsia="Times New Roman" w:hAnsi="Times New Roman" w:cs="Times New Roman"/>
                <w:noProof/>
                <w:sz w:val="24"/>
                <w:szCs w:val="24"/>
              </w:rPr>
            </w:pPr>
            <w:r>
              <w:rPr>
                <w:rFonts w:ascii="Times New Roman" w:hAnsi="Times New Roman" w:cs="Times New Roman"/>
                <w:noProof/>
                <w:sz w:val="24"/>
                <w:szCs w:val="24"/>
              </w:rPr>
              <w:t>The benefits of digital transformation are clear but so is the fact that it is inevitably accompanied by an increase in potential vulnerabilities</w:t>
            </w:r>
            <w:r>
              <w:rPr>
                <w:rStyle w:val="FootnoteReference"/>
                <w:rFonts w:ascii="Times New Roman" w:hAnsi="Times New Roman" w:cs="Times New Roman"/>
                <w:noProof/>
                <w:sz w:val="24"/>
                <w:szCs w:val="24"/>
              </w:rPr>
              <w:footnoteReference w:id="18"/>
            </w:r>
            <w:r>
              <w:rPr>
                <w:rFonts w:ascii="Times New Roman" w:hAnsi="Times New Roman" w:cs="Times New Roman"/>
                <w:noProof/>
                <w:sz w:val="24"/>
                <w:szCs w:val="24"/>
              </w:rPr>
              <w:t>. Critical infrastructure is often the target of increasingly sophisticated cyber-attacks</w:t>
            </w:r>
            <w:r>
              <w:rPr>
                <w:rStyle w:val="FootnoteReference"/>
                <w:rFonts w:ascii="Times New Roman" w:hAnsi="Times New Roman" w:cs="Times New Roman"/>
                <w:noProof/>
                <w:sz w:val="24"/>
                <w:szCs w:val="24"/>
              </w:rPr>
              <w:footnoteReference w:id="19"/>
            </w:r>
            <w:r>
              <w:rPr>
                <w:rFonts w:ascii="Times New Roman" w:hAnsi="Times New Roman" w:cs="Times New Roman"/>
                <w:noProof/>
                <w:sz w:val="24"/>
                <w:szCs w:val="24"/>
              </w:rPr>
              <w:t xml:space="preserve">. </w:t>
            </w:r>
            <w:r>
              <w:rPr>
                <w:rFonts w:ascii="Times New Roman" w:hAnsi="Times New Roman" w:cs="Times New Roman"/>
                <w:b/>
                <w:bCs/>
                <w:noProof/>
                <w:sz w:val="24"/>
                <w:szCs w:val="24"/>
              </w:rPr>
              <w:t>Cybersecurity</w:t>
            </w:r>
            <w:r>
              <w:rPr>
                <w:rFonts w:ascii="Times New Roman" w:hAnsi="Times New Roman" w:cs="Times New Roman"/>
                <w:noProof/>
                <w:sz w:val="24"/>
                <w:szCs w:val="24"/>
              </w:rPr>
              <w:t xml:space="preserve"> must therefore be the concern not only of policymakers, but of everyone who works or communicates online.</w:t>
            </w:r>
            <w:r>
              <w:rPr>
                <w:rFonts w:ascii="Times New Roman" w:eastAsia="Times New Roman" w:hAnsi="Times New Roman" w:cs="Times New Roman"/>
                <w:noProof/>
                <w:sz w:val="24"/>
                <w:szCs w:val="24"/>
              </w:rPr>
              <w:t xml:space="preserve"> </w:t>
            </w:r>
          </w:p>
          <w:p w:rsidR="00872751" w:rsidRDefault="008477BD">
            <w:pPr>
              <w:spacing w:after="120"/>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To increase trust in and security of digital products, processes and services, the Cybersecurity Act of June 2019 created </w:t>
            </w:r>
            <w:r>
              <w:rPr>
                <w:rFonts w:ascii="Times New Roman" w:eastAsia="Times New Roman" w:hAnsi="Times New Roman" w:cs="Times New Roman"/>
                <w:b/>
                <w:bCs/>
                <w:noProof/>
                <w:sz w:val="24"/>
                <w:szCs w:val="24"/>
              </w:rPr>
              <w:t>an EU cybersecurity certification framework</w:t>
            </w:r>
            <w:r>
              <w:rPr>
                <w:rFonts w:ascii="Times New Roman" w:eastAsia="Times New Roman" w:hAnsi="Times New Roman" w:cs="Times New Roman"/>
                <w:noProof/>
                <w:sz w:val="24"/>
                <w:szCs w:val="24"/>
              </w:rPr>
              <w:t>. The Commission has requested the EU Agency for Cybersecurity, ENISA, to prepare two cybersecurity certification schemes, and their</w:t>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 xml:space="preserve">preparation is well underway. This work also involves national cybersecurity certification authorities, industry, consumers, accreditation, standardisation and certification bodies as well as the European Data Protection Board. </w:t>
            </w:r>
          </w:p>
        </w:tc>
        <w:tc>
          <w:tcPr>
            <w:tcW w:w="5387" w:type="dxa"/>
          </w:tcPr>
          <w:p w:rsidR="00872751" w:rsidRDefault="008477BD">
            <w:pPr>
              <w:spacing w:after="120"/>
              <w:jc w:val="both"/>
              <w:rPr>
                <w:rFonts w:ascii="Times New Roman" w:hAnsi="Times New Roman" w:cs="Times New Roman"/>
                <w:noProof/>
                <w:sz w:val="24"/>
                <w:szCs w:val="24"/>
              </w:rPr>
            </w:pPr>
            <w:r>
              <w:rPr>
                <w:rFonts w:ascii="Times New Roman" w:hAnsi="Times New Roman" w:cs="Times New Roman"/>
                <w:noProof/>
                <w:sz w:val="24"/>
                <w:szCs w:val="24"/>
              </w:rPr>
              <w:t xml:space="preserve">  </w:t>
            </w:r>
            <w:r>
              <w:rPr>
                <w:noProof/>
                <w:lang w:eastAsia="en-GB"/>
              </w:rPr>
              <w:drawing>
                <wp:inline distT="0" distB="0" distL="0" distR="0">
                  <wp:extent cx="3108960" cy="438566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35654" t="21219" r="35626" b="6726"/>
                          <a:stretch/>
                        </pic:blipFill>
                        <pic:spPr bwMode="auto">
                          <a:xfrm>
                            <a:off x="0" y="0"/>
                            <a:ext cx="3108960" cy="4385664"/>
                          </a:xfrm>
                          <a:prstGeom prst="rect">
                            <a:avLst/>
                          </a:prstGeom>
                          <a:ln>
                            <a:noFill/>
                          </a:ln>
                          <a:extLst>
                            <a:ext uri="{53640926-AAD7-44D8-BBD7-CCE9431645EC}">
                              <a14:shadowObscured xmlns:a14="http://schemas.microsoft.com/office/drawing/2010/main"/>
                            </a:ext>
                          </a:extLst>
                        </pic:spPr>
                      </pic:pic>
                    </a:graphicData>
                  </a:graphic>
                </wp:inline>
              </w:drawing>
            </w:r>
          </w:p>
        </w:tc>
      </w:tr>
    </w:tbl>
    <w:p w:rsidR="00872751" w:rsidRDefault="008477BD">
      <w:pPr>
        <w:spacing w:after="120" w:line="240" w:lineRule="auto"/>
        <w:jc w:val="both"/>
        <w:rPr>
          <w:rFonts w:ascii="Times New Roman" w:hAnsi="Times New Roman"/>
          <w:noProof/>
          <w:sz w:val="24"/>
          <w:szCs w:val="24"/>
        </w:rPr>
      </w:pPr>
      <w:r>
        <w:rPr>
          <w:rFonts w:ascii="Times New Roman" w:hAnsi="Times New Roman" w:cs="Times New Roman"/>
          <w:noProof/>
          <w:sz w:val="24"/>
          <w:szCs w:val="24"/>
        </w:rPr>
        <w:t xml:space="preserve">One of these schemes is a </w:t>
      </w:r>
      <w:r>
        <w:rPr>
          <w:rFonts w:ascii="Times New Roman" w:hAnsi="Times New Roman"/>
          <w:b/>
          <w:bCs/>
          <w:noProof/>
          <w:sz w:val="24"/>
          <w:szCs w:val="24"/>
        </w:rPr>
        <w:t>cloud services</w:t>
      </w:r>
      <w:r>
        <w:rPr>
          <w:rFonts w:ascii="Times New Roman" w:hAnsi="Times New Roman"/>
          <w:noProof/>
          <w:sz w:val="24"/>
          <w:szCs w:val="24"/>
        </w:rPr>
        <w:t xml:space="preserve"> scheme in support of a </w:t>
      </w:r>
      <w:r>
        <w:rPr>
          <w:rFonts w:ascii="Times New Roman" w:hAnsi="Times New Roman"/>
          <w:noProof/>
          <w:color w:val="000000"/>
          <w:sz w:val="24"/>
          <w:szCs w:val="24"/>
        </w:rPr>
        <w:t xml:space="preserve">secure and trusted cloud services market place. This is a key element in </w:t>
      </w:r>
      <w:r>
        <w:rPr>
          <w:rFonts w:ascii="Times New Roman" w:hAnsi="Times New Roman"/>
          <w:noProof/>
          <w:sz w:val="24"/>
          <w:szCs w:val="24"/>
        </w:rPr>
        <w:t xml:space="preserve">the </w:t>
      </w:r>
      <w:r>
        <w:rPr>
          <w:rFonts w:ascii="Times New Roman" w:hAnsi="Times New Roman"/>
          <w:b/>
          <w:bCs/>
          <w:noProof/>
          <w:sz w:val="24"/>
          <w:szCs w:val="24"/>
        </w:rPr>
        <w:t xml:space="preserve">EU Data Strategy </w:t>
      </w:r>
      <w:r>
        <w:rPr>
          <w:rFonts w:ascii="Times New Roman" w:hAnsi="Times New Roman"/>
          <w:noProof/>
          <w:sz w:val="24"/>
          <w:szCs w:val="24"/>
        </w:rPr>
        <w:t>adopted in February 2020</w:t>
      </w:r>
      <w:r>
        <w:rPr>
          <w:rStyle w:val="FootnoteReference"/>
          <w:rFonts w:ascii="Times New Roman" w:hAnsi="Times New Roman"/>
          <w:noProof/>
          <w:sz w:val="24"/>
          <w:szCs w:val="24"/>
        </w:rPr>
        <w:footnoteReference w:id="20"/>
      </w:r>
      <w:r>
        <w:rPr>
          <w:rFonts w:ascii="Times New Roman" w:hAnsi="Times New Roman"/>
          <w:noProof/>
          <w:sz w:val="24"/>
          <w:szCs w:val="24"/>
        </w:rPr>
        <w:t>. It would create a common security baseline for cloud services across sectors, building on the highest common denominator of existing (European and international) standards, schemes and practices. This will be a key element in the free flow of data across the EU</w:t>
      </w:r>
      <w:r>
        <w:rPr>
          <w:rStyle w:val="FootnoteReference"/>
          <w:rFonts w:ascii="Times New Roman" w:hAnsi="Times New Roman"/>
          <w:noProof/>
          <w:sz w:val="24"/>
          <w:szCs w:val="24"/>
        </w:rPr>
        <w:footnoteReference w:id="21"/>
      </w:r>
      <w:r>
        <w:rPr>
          <w:rFonts w:ascii="Times New Roman" w:hAnsi="Times New Roman"/>
          <w:noProof/>
          <w:sz w:val="24"/>
          <w:szCs w:val="24"/>
        </w:rPr>
        <w:t xml:space="preserve">. The scheme will also foster the adoption of cloud technologies by providing users, in particular small and medium-sized enterprises and public administration, with comprehensible reassurance on the level of security when they use the cloud. </w:t>
      </w:r>
    </w:p>
    <w:p w:rsidR="00872751" w:rsidRDefault="008477BD">
      <w:pPr>
        <w:spacing w:after="120" w:line="240" w:lineRule="auto"/>
        <w:jc w:val="both"/>
        <w:rPr>
          <w:rFonts w:ascii="Times New Roman" w:eastAsia="Times New Roman" w:hAnsi="Times New Roman" w:cs="Times New Roman"/>
          <w:noProof/>
          <w:sz w:val="24"/>
          <w:szCs w:val="24"/>
        </w:rPr>
      </w:pPr>
      <w:r>
        <w:rPr>
          <w:rFonts w:ascii="Times New Roman" w:hAnsi="Times New Roman" w:cs="Times New Roman"/>
          <w:noProof/>
          <w:sz w:val="24"/>
          <w:szCs w:val="24"/>
        </w:rPr>
        <w:t xml:space="preserve">As highlighted in the Security Union Strategy, given the ongoing roll-out of the 5G infrastructure across the EU and the potential dependence of many critical services on 5G networks, the consequences of systemic and widespread disruption can be particularly serious. The result has been a common effort by Member States to develop and put in place adequate security measures. </w:t>
      </w:r>
      <w:r>
        <w:rPr>
          <w:rFonts w:ascii="Times New Roman" w:eastAsia="Times New Roman" w:hAnsi="Times New Roman" w:cs="Times New Roman"/>
          <w:noProof/>
          <w:sz w:val="24"/>
          <w:szCs w:val="24"/>
        </w:rPr>
        <w:t xml:space="preserve">Following the Commission’s Recommendation on the </w:t>
      </w:r>
      <w:r>
        <w:rPr>
          <w:rFonts w:ascii="Times New Roman" w:eastAsia="Times New Roman" w:hAnsi="Times New Roman" w:cs="Times New Roman"/>
          <w:b/>
          <w:bCs/>
          <w:noProof/>
          <w:sz w:val="24"/>
          <w:szCs w:val="24"/>
        </w:rPr>
        <w:lastRenderedPageBreak/>
        <w:t>Cybersecurity of 5G networks</w:t>
      </w:r>
      <w:r>
        <w:rPr>
          <w:rFonts w:ascii="Times New Roman" w:eastAsia="Times New Roman" w:hAnsi="Times New Roman" w:cs="Times New Roman"/>
          <w:noProof/>
          <w:sz w:val="24"/>
          <w:szCs w:val="24"/>
        </w:rPr>
        <w:t xml:space="preserve"> of March 2019</w:t>
      </w:r>
      <w:r>
        <w:rPr>
          <w:rStyle w:val="FootnoteReference"/>
          <w:rFonts w:ascii="Times New Roman" w:eastAsia="Times New Roman" w:hAnsi="Times New Roman" w:cs="Times New Roman"/>
          <w:noProof/>
          <w:sz w:val="24"/>
          <w:szCs w:val="24"/>
        </w:rPr>
        <w:footnoteReference w:id="22"/>
      </w:r>
      <w:r>
        <w:rPr>
          <w:rFonts w:ascii="Times New Roman" w:eastAsia="Times New Roman" w:hAnsi="Times New Roman" w:cs="Times New Roman"/>
          <w:noProof/>
          <w:sz w:val="24"/>
          <w:szCs w:val="24"/>
        </w:rPr>
        <w:t>, Member State completed national risk assessments which translated into a coordinated EU risk assessment report</w:t>
      </w:r>
      <w:r>
        <w:rPr>
          <w:rStyle w:val="FootnoteReference"/>
          <w:rFonts w:ascii="Times New Roman" w:eastAsia="Times New Roman" w:hAnsi="Times New Roman" w:cs="Times New Roman"/>
          <w:noProof/>
          <w:sz w:val="24"/>
          <w:szCs w:val="24"/>
        </w:rPr>
        <w:footnoteReference w:id="23"/>
      </w:r>
      <w:r>
        <w:rPr>
          <w:rFonts w:ascii="Times New Roman" w:eastAsia="Times New Roman" w:hAnsi="Times New Roman" w:cs="Times New Roman"/>
          <w:noProof/>
          <w:sz w:val="24"/>
          <w:szCs w:val="24"/>
        </w:rPr>
        <w:t xml:space="preserve"> identifying the security challenges linked to 5G networks.</w:t>
      </w:r>
      <w:r>
        <w:rPr>
          <w:noProof/>
        </w:rPr>
        <w:t xml:space="preserve"> </w:t>
      </w:r>
      <w:r>
        <w:rPr>
          <w:rFonts w:ascii="Times New Roman" w:eastAsia="Times New Roman" w:hAnsi="Times New Roman" w:cs="Times New Roman"/>
          <w:noProof/>
          <w:sz w:val="24"/>
          <w:szCs w:val="24"/>
        </w:rPr>
        <w:t>On this basis, on 29 January 2020 the NIS Cooperation Group</w:t>
      </w:r>
      <w:r>
        <w:rPr>
          <w:rStyle w:val="FootnoteReference"/>
          <w:rFonts w:ascii="Times New Roman" w:eastAsia="Times New Roman" w:hAnsi="Times New Roman" w:cs="Times New Roman"/>
          <w:noProof/>
          <w:sz w:val="24"/>
          <w:szCs w:val="24"/>
        </w:rPr>
        <w:footnoteReference w:id="24"/>
      </w:r>
      <w:r>
        <w:rPr>
          <w:rFonts w:ascii="Times New Roman" w:eastAsia="Times New Roman" w:hAnsi="Times New Roman" w:cs="Times New Roman"/>
          <w:noProof/>
          <w:sz w:val="24"/>
          <w:szCs w:val="24"/>
        </w:rPr>
        <w:t xml:space="preserve"> published the </w:t>
      </w:r>
      <w:r>
        <w:rPr>
          <w:rFonts w:ascii="Times New Roman" w:eastAsia="Times New Roman" w:hAnsi="Times New Roman" w:cs="Times New Roman"/>
          <w:b/>
          <w:bCs/>
          <w:noProof/>
          <w:sz w:val="24"/>
          <w:szCs w:val="24"/>
        </w:rPr>
        <w:t>EU toolbox of risk mitigating measures</w:t>
      </w:r>
      <w:r>
        <w:rPr>
          <w:rStyle w:val="FootnoteReference"/>
          <w:rFonts w:ascii="Times New Roman" w:eastAsia="Times New Roman" w:hAnsi="Times New Roman" w:cs="Times New Roman"/>
          <w:noProof/>
          <w:sz w:val="24"/>
          <w:szCs w:val="24"/>
        </w:rPr>
        <w:footnoteReference w:id="25"/>
      </w:r>
      <w:r>
        <w:rPr>
          <w:rFonts w:ascii="Times New Roman" w:eastAsia="Times New Roman" w:hAnsi="Times New Roman" w:cs="Times New Roman"/>
          <w:b/>
          <w:bCs/>
          <w:noProof/>
          <w:sz w:val="24"/>
          <w:szCs w:val="24"/>
        </w:rPr>
        <w:t xml:space="preserve"> </w:t>
      </w:r>
      <w:r>
        <w:rPr>
          <w:rFonts w:ascii="Times New Roman" w:eastAsia="Times New Roman" w:hAnsi="Times New Roman" w:cs="Times New Roman"/>
          <w:noProof/>
          <w:sz w:val="24"/>
          <w:szCs w:val="24"/>
        </w:rPr>
        <w:t xml:space="preserve">setting out necessary strategic and technical measures. The toolbox includes measures to strengthen security requirements for mobile network operators (MNOs), ensure the diversity of suppliers for individual MNOs, assess the risk profile of suppliers, and apply restrictions for suppliers considered to be high risk. </w:t>
      </w:r>
      <w:r>
        <w:rPr>
          <w:rFonts w:ascii="Times New Roman" w:hAnsi="Times New Roman" w:cs="Times New Roman"/>
          <w:noProof/>
          <w:sz w:val="24"/>
          <w:szCs w:val="24"/>
        </w:rPr>
        <w:t>The Commission will support the implementation of the toolbox, making full use of its competences and means at its disposal</w:t>
      </w:r>
      <w:r>
        <w:rPr>
          <w:rStyle w:val="FootnoteReference"/>
          <w:rFonts w:ascii="Times New Roman" w:eastAsia="Times New Roman" w:hAnsi="Times New Roman" w:cs="Times New Roman"/>
          <w:noProof/>
          <w:sz w:val="24"/>
          <w:szCs w:val="24"/>
        </w:rPr>
        <w:footnoteReference w:id="26"/>
      </w:r>
      <w:r>
        <w:rPr>
          <w:rFonts w:ascii="Times New Roman" w:eastAsia="Times New Roman" w:hAnsi="Times New Roman" w:cs="Times New Roman"/>
          <w:noProof/>
          <w:sz w:val="24"/>
          <w:szCs w:val="24"/>
        </w:rPr>
        <w:t>, including telecoms and cybersecurity rules; coordination on standardisation as well as EU-wide certification; and the EU Foreign Direct Investment Framework</w:t>
      </w:r>
      <w:r>
        <w:rPr>
          <w:rStyle w:val="FootnoteReference"/>
          <w:rFonts w:ascii="Times New Roman" w:eastAsia="Times New Roman" w:hAnsi="Times New Roman" w:cs="Times New Roman"/>
          <w:noProof/>
          <w:sz w:val="24"/>
          <w:szCs w:val="24"/>
        </w:rPr>
        <w:footnoteReference w:id="27"/>
      </w:r>
      <w:r>
        <w:rPr>
          <w:rFonts w:ascii="Times New Roman" w:eastAsia="Times New Roman" w:hAnsi="Times New Roman" w:cs="Times New Roman"/>
          <w:noProof/>
          <w:sz w:val="24"/>
          <w:szCs w:val="24"/>
        </w:rPr>
        <w:t xml:space="preserve">. </w:t>
      </w:r>
    </w:p>
    <w:p w:rsidR="00872751" w:rsidRDefault="008477BD">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The NIS Cooperation group published a progress report on the implementation of toolbox measures in July 2020</w:t>
      </w:r>
      <w:r>
        <w:rPr>
          <w:rStyle w:val="FootnoteReference"/>
          <w:rFonts w:ascii="Times New Roman" w:eastAsia="Times New Roman" w:hAnsi="Times New Roman" w:cs="Times New Roman"/>
          <w:noProof/>
          <w:sz w:val="24"/>
          <w:szCs w:val="24"/>
        </w:rPr>
        <w:footnoteReference w:id="28"/>
      </w:r>
      <w:r>
        <w:rPr>
          <w:rFonts w:ascii="Times New Roman" w:eastAsia="Times New Roman" w:hAnsi="Times New Roman" w:cs="Times New Roman"/>
          <w:noProof/>
          <w:sz w:val="24"/>
          <w:szCs w:val="24"/>
        </w:rPr>
        <w:t>. This noted that a large majority of Member States have already adopted or are in the process of implementing the measures recommended in the toolbox. Measures where implementation was less advanced included mitigating the risk of dependency on high-risk suppliers and the development of multi-vendor strategies at both company and national level.</w:t>
      </w:r>
    </w:p>
    <w:p w:rsidR="00872751" w:rsidRDefault="008477BD">
      <w:pPr>
        <w:spacing w:after="120" w:line="240" w:lineRule="auto"/>
        <w:jc w:val="both"/>
        <w:rPr>
          <w:noProof/>
        </w:rPr>
      </w:pPr>
      <w:r>
        <w:rPr>
          <w:rFonts w:ascii="Times New Roman" w:eastAsia="Times New Roman" w:hAnsi="Times New Roman" w:cs="Times New Roman"/>
          <w:noProof/>
          <w:sz w:val="24"/>
          <w:szCs w:val="24"/>
        </w:rPr>
        <w:t xml:space="preserve">Over the course of the last few months, EU institutions and Member States responded to the increased level of cybersecurity risk triggered by the </w:t>
      </w:r>
      <w:r>
        <w:rPr>
          <w:rFonts w:ascii="Times New Roman" w:eastAsia="Times New Roman" w:hAnsi="Times New Roman" w:cs="Times New Roman"/>
          <w:b/>
          <w:bCs/>
          <w:noProof/>
          <w:sz w:val="24"/>
          <w:szCs w:val="24"/>
        </w:rPr>
        <w:t>COVID-19 crisis</w:t>
      </w:r>
      <w:r>
        <w:rPr>
          <w:rFonts w:ascii="Times New Roman" w:eastAsia="Times New Roman" w:hAnsi="Times New Roman" w:cs="Times New Roman"/>
          <w:noProof/>
          <w:sz w:val="24"/>
          <w:szCs w:val="24"/>
        </w:rPr>
        <w:t xml:space="preserve"> by intensifying the exchange of information and enhancing the level of preparedness for a potential cyber crisis. EU cooperation was stepped up in key fora (NIS Cooperation Group and the Computer Security Incident Response Teams (CSIRTs) Network), as well as through new forms of coordination and information sharing tools</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In September 2020, there was a second table-top Blueprint Operational Level Exercise (Blue OLEx)</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where the “Cyber Crisis Liaison Organisation Network” (CyCLONe) of Member States was also launched, which will implement further the Blueprint for rapid emergency responses for large-scale, cross-border cyber incidents or crises</w:t>
      </w:r>
      <w:r>
        <w:rPr>
          <w:rStyle w:val="FootnoteReference"/>
          <w:rFonts w:ascii="Times New Roman" w:hAnsi="Times New Roman" w:cs="Times New Roman"/>
          <w:noProof/>
          <w:sz w:val="24"/>
          <w:szCs w:val="24"/>
        </w:rPr>
        <w:footnoteReference w:id="31"/>
      </w:r>
      <w:r>
        <w:rPr>
          <w:rFonts w:ascii="Times New Roman" w:hAnsi="Times New Roman" w:cs="Times New Roman"/>
          <w:noProof/>
          <w:sz w:val="24"/>
          <w:szCs w:val="24"/>
        </w:rPr>
        <w:t>.</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the global cyberspace, cyber-attacks and threats often originate from outside the EU. To effectively face these challenges, the EU and Member States cooperate to advance international security and stability in cyberspace, promote responsible state behaviour, increase global resilience and raise awareness on cyber threats and malicious cyber activities, </w:t>
      </w:r>
      <w:r>
        <w:rPr>
          <w:rFonts w:ascii="Times New Roman" w:hAnsi="Times New Roman" w:cs="Times New Roman"/>
          <w:noProof/>
          <w:sz w:val="24"/>
          <w:szCs w:val="24"/>
        </w:rPr>
        <w:lastRenderedPageBreak/>
        <w:t>including with international partners</w:t>
      </w:r>
      <w:r>
        <w:rPr>
          <w:rStyle w:val="FootnoteReference"/>
          <w:rFonts w:ascii="Times New Roman" w:hAnsi="Times New Roman" w:cs="Times New Roman"/>
          <w:noProof/>
          <w:sz w:val="24"/>
          <w:szCs w:val="24"/>
        </w:rPr>
        <w:footnoteReference w:id="32"/>
      </w:r>
      <w:r>
        <w:rPr>
          <w:rFonts w:ascii="Times New Roman" w:hAnsi="Times New Roman" w:cs="Times New Roman"/>
          <w:noProof/>
          <w:sz w:val="24"/>
          <w:szCs w:val="24"/>
        </w:rPr>
        <w:t>. On 30 April 2020, the High Representative published a Declaration on behalf of the EU condemning malicious behaviour in cyberspace and expressing solidarity with the victims</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w:t>
      </w:r>
    </w:p>
    <w:p w:rsidR="00872751" w:rsidRDefault="008477BD">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On 30 July 2020, the Council adopted the </w:t>
      </w:r>
      <w:r>
        <w:rPr>
          <w:rFonts w:ascii="Times New Roman" w:hAnsi="Times New Roman" w:cs="Times New Roman"/>
          <w:b/>
          <w:bCs/>
          <w:noProof/>
          <w:sz w:val="24"/>
          <w:szCs w:val="24"/>
        </w:rPr>
        <w:t>first ever EU cyber sanctions</w:t>
      </w:r>
      <w:r>
        <w:rPr>
          <w:rFonts w:ascii="Times New Roman" w:hAnsi="Times New Roman" w:cs="Times New Roman"/>
          <w:noProof/>
          <w:sz w:val="24"/>
          <w:szCs w:val="24"/>
        </w:rPr>
        <w:t xml:space="preserve"> against six individuals and three entities responsible for or involved in cyber-attacks. These include the attempted cyber-attack against the OPCW (Organisation for the Prohibition of Chemical Weapons) and those publicly known as 'WannaCry', 'NotPetya', and 'Operation Cloud Hopper'. On 22 October 2020, the Council applied</w:t>
      </w:r>
      <w:r>
        <w:rPr>
          <w:rFonts w:ascii="Times New Roman" w:hAnsi="Times New Roman"/>
          <w:noProof/>
          <w:sz w:val="24"/>
          <w:szCs w:val="24"/>
        </w:rPr>
        <w:t xml:space="preserve"> sanctions</w:t>
      </w:r>
      <w:r>
        <w:rPr>
          <w:rFonts w:ascii="Times New Roman" w:hAnsi="Times New Roman" w:cs="Times New Roman"/>
          <w:noProof/>
          <w:sz w:val="24"/>
          <w:szCs w:val="24"/>
        </w:rPr>
        <w:t xml:space="preserve"> to another two individuals and one entity responsible for or involved in the cyber-attack against the German federal parliament. These decisions followed continuous signaling of the EU and Member States of the need to prevent, discourage, deter and respond to malicious cyber activities, including by using its cyber sanctions regime as part of its 2017 cyber diplomacy toolbox</w:t>
      </w:r>
      <w:r>
        <w:rPr>
          <w:rStyle w:val="FootnoteReference"/>
          <w:rFonts w:ascii="Times New Roman" w:hAnsi="Times New Roman" w:cs="Times New Roman"/>
          <w:noProof/>
          <w:sz w:val="24"/>
          <w:szCs w:val="24"/>
        </w:rPr>
        <w:footnoteReference w:id="34"/>
      </w:r>
      <w:r>
        <w:rPr>
          <w:rFonts w:ascii="Times New Roman" w:hAnsi="Times New Roman" w:cs="Times New Roman"/>
          <w:noProof/>
          <w:sz w:val="24"/>
          <w:szCs w:val="24"/>
        </w:rPr>
        <w:t>.</w:t>
      </w:r>
    </w:p>
    <w:p w:rsidR="00872751" w:rsidRDefault="008477BD">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Negotiations between the co-legislators on new export rules that restrict the sale of cyber-surveillance goods to worldwide regimes engaging in the repression of human rights</w:t>
      </w:r>
      <w:r>
        <w:rPr>
          <w:rStyle w:val="FootnoteReference"/>
          <w:rFonts w:ascii="Times New Roman" w:hAnsi="Times New Roman" w:cs="Times New Roman"/>
          <w:noProof/>
          <w:sz w:val="24"/>
          <w:szCs w:val="24"/>
        </w:rPr>
        <w:footnoteReference w:id="35"/>
      </w:r>
      <w:r>
        <w:rPr>
          <w:rFonts w:ascii="Times New Roman" w:hAnsi="Times New Roman" w:cs="Times New Roman"/>
          <w:noProof/>
          <w:sz w:val="24"/>
          <w:szCs w:val="24"/>
        </w:rPr>
        <w:t xml:space="preserve"> have also progressed. Once adopted, these rules will lead to a more accountable, competitive and transparent trade of dual-use items</w:t>
      </w:r>
      <w:r>
        <w:rPr>
          <w:rStyle w:val="FootnoteReference"/>
          <w:rFonts w:ascii="Times New Roman" w:hAnsi="Times New Roman" w:cs="Times New Roman"/>
          <w:noProof/>
          <w:sz w:val="24"/>
          <w:szCs w:val="24"/>
        </w:rPr>
        <w:footnoteReference w:id="36"/>
      </w:r>
      <w:r>
        <w:rPr>
          <w:rFonts w:ascii="Times New Roman" w:hAnsi="Times New Roman" w:cs="Times New Roman"/>
          <w:noProof/>
          <w:sz w:val="24"/>
          <w:szCs w:val="24"/>
        </w:rPr>
        <w:t>. The proposed amendments, made necessary by technological developments and growing security risks, include new criteria to grant or reject export licenses for certain items.</w:t>
      </w:r>
    </w:p>
    <w:p w:rsidR="00872751" w:rsidRDefault="008477BD">
      <w:pPr>
        <w:pStyle w:val="ListParagraph"/>
        <w:numPr>
          <w:ilvl w:val="0"/>
          <w:numId w:val="26"/>
        </w:numPr>
        <w:spacing w:after="120" w:line="240" w:lineRule="auto"/>
        <w:jc w:val="both"/>
        <w:rPr>
          <w:rFonts w:ascii="Times New Roman" w:hAnsi="Times New Roman"/>
          <w:b/>
          <w:i/>
          <w:noProof/>
          <w:sz w:val="24"/>
        </w:rPr>
      </w:pPr>
      <w:r>
        <w:rPr>
          <w:rFonts w:ascii="Times New Roman" w:hAnsi="Times New Roman" w:cs="Times New Roman"/>
          <w:b/>
          <w:bCs/>
          <w:i/>
          <w:iCs/>
          <w:noProof/>
          <w:sz w:val="24"/>
          <w:szCs w:val="24"/>
        </w:rPr>
        <w:t xml:space="preserve">Protecting public spaces </w:t>
      </w:r>
    </w:p>
    <w:p w:rsidR="00872751" w:rsidRDefault="008477BD">
      <w:pPr>
        <w:spacing w:after="120" w:line="240" w:lineRule="auto"/>
        <w:jc w:val="both"/>
        <w:rPr>
          <w:rFonts w:ascii="Times New Roman" w:eastAsia="Times New Roman" w:hAnsi="Times New Roman" w:cs="Times New Roman"/>
          <w:noProof/>
          <w:sz w:val="24"/>
          <w:szCs w:val="24"/>
          <w:lang w:val="en-IE"/>
        </w:rPr>
      </w:pPr>
      <w:r>
        <w:rPr>
          <w:rFonts w:ascii="Times New Roman" w:hAnsi="Times New Roman" w:cs="Times New Roman"/>
          <w:noProof/>
          <w:sz w:val="24"/>
          <w:szCs w:val="24"/>
        </w:rPr>
        <w:t>As recognised in the EU Agenda on Counter Terrorism</w:t>
      </w:r>
      <w:r>
        <w:rPr>
          <w:rStyle w:val="FootnoteReference"/>
          <w:rFonts w:ascii="Times New Roman" w:hAnsi="Times New Roman" w:cs="Times New Roman"/>
          <w:noProof/>
          <w:sz w:val="24"/>
          <w:szCs w:val="24"/>
        </w:rPr>
        <w:footnoteReference w:id="37"/>
      </w:r>
      <w:r>
        <w:rPr>
          <w:rFonts w:ascii="Times New Roman" w:hAnsi="Times New Roman" w:cs="Times New Roman"/>
          <w:noProof/>
          <w:sz w:val="24"/>
          <w:szCs w:val="24"/>
        </w:rPr>
        <w:t xml:space="preserve">, the protection of public spaces, through building resilience against security threats remains a crucial component of the work towards an effective and genuine Security Union. </w:t>
      </w:r>
      <w:r>
        <w:rPr>
          <w:rFonts w:ascii="Times New Roman" w:eastAsia="Times New Roman" w:hAnsi="Times New Roman" w:cs="Times New Roman"/>
          <w:noProof/>
          <w:sz w:val="24"/>
          <w:szCs w:val="24"/>
          <w:lang w:val="en-IE"/>
        </w:rPr>
        <w:t>The Commission is working with a wide range of public and private stakeholders to develop guidance and provide practical support and funding</w:t>
      </w:r>
      <w:r>
        <w:rPr>
          <w:rStyle w:val="FootnoteReference"/>
          <w:rFonts w:ascii="Times New Roman" w:eastAsia="Times New Roman" w:hAnsi="Times New Roman" w:cs="Times New Roman"/>
          <w:noProof/>
          <w:sz w:val="24"/>
          <w:szCs w:val="24"/>
          <w:lang w:val="en-IE"/>
        </w:rPr>
        <w:footnoteReference w:id="38"/>
      </w:r>
      <w:r>
        <w:rPr>
          <w:rFonts w:ascii="Times New Roman" w:eastAsia="Times New Roman" w:hAnsi="Times New Roman" w:cs="Times New Roman"/>
          <w:noProof/>
          <w:sz w:val="24"/>
          <w:szCs w:val="24"/>
          <w:lang w:val="en-IE"/>
        </w:rPr>
        <w:t xml:space="preserve">, in line with the </w:t>
      </w:r>
      <w:r>
        <w:rPr>
          <w:rFonts w:ascii="Times New Roman" w:eastAsia="Times New Roman" w:hAnsi="Times New Roman" w:cs="Times New Roman"/>
          <w:b/>
          <w:bCs/>
          <w:noProof/>
          <w:sz w:val="24"/>
          <w:szCs w:val="24"/>
        </w:rPr>
        <w:t>2017</w:t>
      </w:r>
      <w:r>
        <w:rPr>
          <w:rFonts w:ascii="Times New Roman" w:eastAsia="Times New Roman" w:hAnsi="Times New Roman" w:cs="Times New Roman"/>
          <w:noProof/>
          <w:sz w:val="24"/>
          <w:szCs w:val="24"/>
        </w:rPr>
        <w:t xml:space="preserve"> </w:t>
      </w:r>
      <w:r>
        <w:rPr>
          <w:rFonts w:ascii="Times New Roman" w:eastAsia="Times New Roman" w:hAnsi="Times New Roman" w:cs="Times New Roman"/>
          <w:b/>
          <w:bCs/>
          <w:noProof/>
          <w:sz w:val="24"/>
          <w:szCs w:val="24"/>
        </w:rPr>
        <w:t>Action Plan to support the protection of public spaces</w:t>
      </w:r>
      <w:r>
        <w:rPr>
          <w:rStyle w:val="FootnoteReference"/>
          <w:rFonts w:ascii="Times New Roman" w:eastAsia="Times New Roman" w:hAnsi="Times New Roman" w:cs="Times New Roman"/>
          <w:noProof/>
          <w:sz w:val="24"/>
          <w:szCs w:val="24"/>
        </w:rPr>
        <w:footnoteReference w:id="39"/>
      </w:r>
      <w:r>
        <w:rPr>
          <w:rFonts w:ascii="Times New Roman" w:eastAsia="Times New Roman" w:hAnsi="Times New Roman" w:cs="Times New Roman"/>
          <w:noProof/>
          <w:sz w:val="24"/>
          <w:szCs w:val="24"/>
          <w:lang w:val="en-IE"/>
        </w:rPr>
        <w:t xml:space="preserve"> and the 2019 collection of good practices to support the protection of public spaces</w:t>
      </w:r>
      <w:r>
        <w:rPr>
          <w:rStyle w:val="FootnoteReference"/>
          <w:rFonts w:ascii="Times New Roman" w:eastAsia="Times New Roman" w:hAnsi="Times New Roman" w:cs="Times New Roman"/>
          <w:noProof/>
          <w:sz w:val="24"/>
          <w:szCs w:val="24"/>
          <w:lang w:val="en-IE"/>
        </w:rPr>
        <w:footnoteReference w:id="40"/>
      </w:r>
      <w:r>
        <w:rPr>
          <w:rFonts w:ascii="Times New Roman" w:eastAsia="Times New Roman" w:hAnsi="Times New Roman" w:cs="Times New Roman"/>
          <w:noProof/>
          <w:sz w:val="24"/>
          <w:szCs w:val="24"/>
          <w:lang w:val="en-IE"/>
        </w:rPr>
        <w:t>. As set out in the EU Agenda on Counter-terrorism, the Commission will intensify its support to l</w:t>
      </w:r>
      <w:r>
        <w:rPr>
          <w:rFonts w:ascii="Times New Roman" w:hAnsi="Times New Roman" w:cs="Times New Roman"/>
          <w:noProof/>
          <w:color w:val="000000"/>
          <w:sz w:val="24"/>
          <w:szCs w:val="24"/>
        </w:rPr>
        <w:t xml:space="preserve">ocal and regional authorities, who play a key role in the protection of public </w:t>
      </w:r>
      <w:r>
        <w:rPr>
          <w:rFonts w:ascii="Times New Roman" w:hAnsi="Times New Roman" w:cs="Times New Roman"/>
          <w:noProof/>
          <w:color w:val="000000"/>
          <w:sz w:val="24"/>
          <w:szCs w:val="24"/>
        </w:rPr>
        <w:lastRenderedPageBreak/>
        <w:t xml:space="preserve">spaces and the prevention of </w:t>
      </w:r>
      <w:r>
        <w:rPr>
          <w:rFonts w:ascii="Times New Roman" w:hAnsi="Times New Roman" w:cs="Times New Roman"/>
          <w:noProof/>
          <w:color w:val="000000" w:themeColor="text1"/>
          <w:sz w:val="24"/>
          <w:szCs w:val="24"/>
        </w:rPr>
        <w:t>radicalisation. This will include drawing up an EU Protocol on Urban Security and Resilience for cities, setting out basic principles and objectives for local authorities in these areas.</w:t>
      </w:r>
    </w:p>
    <w:p w:rsidR="00872751" w:rsidRDefault="008477BD">
      <w:pPr>
        <w:spacing w:after="120"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As terrorist attacks have increasingly targeted </w:t>
      </w:r>
      <w:r>
        <w:rPr>
          <w:rFonts w:ascii="Times New Roman" w:hAnsi="Times New Roman"/>
          <w:b/>
          <w:bCs/>
          <w:noProof/>
          <w:sz w:val="24"/>
          <w:szCs w:val="24"/>
          <w:lang w:val="en-IE"/>
        </w:rPr>
        <w:t>places of worship</w:t>
      </w:r>
      <w:r>
        <w:rPr>
          <w:rFonts w:ascii="Times New Roman" w:eastAsia="Times New Roman" w:hAnsi="Times New Roman" w:cs="Times New Roman"/>
          <w:noProof/>
          <w:sz w:val="24"/>
          <w:szCs w:val="24"/>
          <w:lang w:val="en-IE"/>
        </w:rPr>
        <w:t xml:space="preserve">, a particular emphasis is placed on cooperation between public authorities and faith-based leaders and congregations, in order to improve the level of security awareness and help implement good practices and training in places of worship. Simple measures can make the difference between life and death. In October 2019, a synagogue in Halle was the subject of a terrorist attack. A reinforced door, a panic button and security cameras all helped save lives. </w:t>
      </w:r>
    </w:p>
    <w:p w:rsidR="00872751" w:rsidRDefault="008477BD">
      <w:pPr>
        <w:spacing w:after="120"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To further support enhanced security in public spaces, particularly places of worship, in 2020 the Commission has made €20 million available to stakeholder-led projects.</w:t>
      </w:r>
    </w:p>
    <w:p w:rsidR="00872751" w:rsidRDefault="008477BD">
      <w:pPr>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val="en-IE"/>
        </w:rPr>
        <w:t xml:space="preserve">The Commission is also working on responding to </w:t>
      </w:r>
      <w:r>
        <w:rPr>
          <w:rFonts w:ascii="Times New Roman" w:eastAsia="Times New Roman" w:hAnsi="Times New Roman" w:cs="Times New Roman"/>
          <w:b/>
          <w:bCs/>
          <w:noProof/>
          <w:sz w:val="24"/>
          <w:szCs w:val="24"/>
          <w:lang w:val="en-IE"/>
        </w:rPr>
        <w:t>emerging risks to public spaces</w:t>
      </w:r>
      <w:r>
        <w:rPr>
          <w:rFonts w:ascii="Times New Roman" w:eastAsia="Times New Roman" w:hAnsi="Times New Roman" w:cs="Times New Roman"/>
          <w:noProof/>
          <w:sz w:val="24"/>
          <w:szCs w:val="24"/>
          <w:lang w:val="en-IE"/>
        </w:rPr>
        <w:t xml:space="preserve">, including </w:t>
      </w:r>
      <w:r>
        <w:rPr>
          <w:rFonts w:ascii="Times New Roman" w:eastAsia="Times New Roman" w:hAnsi="Times New Roman" w:cs="Times New Roman"/>
          <w:b/>
          <w:bCs/>
          <w:noProof/>
          <w:sz w:val="24"/>
          <w:szCs w:val="24"/>
          <w:lang w:val="en-IE"/>
        </w:rPr>
        <w:t xml:space="preserve">unmanned aircraft systems </w:t>
      </w:r>
      <w:r>
        <w:rPr>
          <w:rFonts w:ascii="Times New Roman" w:eastAsia="Times New Roman" w:hAnsi="Times New Roman" w:cs="Times New Roman"/>
          <w:noProof/>
          <w:sz w:val="24"/>
          <w:szCs w:val="24"/>
          <w:lang w:val="en-IE"/>
        </w:rPr>
        <w:t>(UAS).</w:t>
      </w:r>
      <w:r>
        <w:rPr>
          <w:rFonts w:ascii="Verdana" w:hAnsi="Verdana"/>
          <w:noProof/>
          <w:sz w:val="18"/>
          <w:szCs w:val="18"/>
        </w:rPr>
        <w:t xml:space="preserve"> </w:t>
      </w:r>
      <w:r>
        <w:rPr>
          <w:rFonts w:ascii="Times New Roman" w:hAnsi="Times New Roman" w:cs="Times New Roman"/>
          <w:noProof/>
          <w:sz w:val="24"/>
          <w:szCs w:val="24"/>
        </w:rPr>
        <w:t>While drones bring significant economic and employment opportunities, they also pose a significant risk to public spaces, critical infrastructures and other sensitive sites, such as prisons. Recent EU rules</w:t>
      </w:r>
      <w:r>
        <w:rPr>
          <w:rStyle w:val="FootnoteReference"/>
          <w:rFonts w:ascii="Times New Roman" w:hAnsi="Times New Roman" w:cs="Times New Roman"/>
          <w:noProof/>
          <w:sz w:val="24"/>
          <w:szCs w:val="24"/>
        </w:rPr>
        <w:footnoteReference w:id="41"/>
      </w:r>
      <w:r>
        <w:rPr>
          <w:rFonts w:ascii="Times New Roman" w:hAnsi="Times New Roman" w:cs="Times New Roman"/>
          <w:noProof/>
          <w:sz w:val="24"/>
          <w:szCs w:val="24"/>
        </w:rPr>
        <w:t xml:space="preserve"> in this area mitigate this risk, by enhancing the security of drone operations. From January 2021, drone operators will also be required to register with national authorities. This regime may be complemented by a </w:t>
      </w:r>
      <w:r>
        <w:rPr>
          <w:rFonts w:ascii="Times New Roman" w:hAnsi="Times New Roman" w:cs="Times New Roman"/>
          <w:b/>
          <w:bCs/>
          <w:noProof/>
          <w:sz w:val="24"/>
          <w:szCs w:val="24"/>
        </w:rPr>
        <w:t>regulatory framework for the U-space</w:t>
      </w:r>
      <w:r>
        <w:rPr>
          <w:rFonts w:ascii="Times New Roman" w:hAnsi="Times New Roman" w:cs="Times New Roman"/>
          <w:noProof/>
          <w:sz w:val="24"/>
          <w:szCs w:val="24"/>
        </w:rPr>
        <w:t>, Europe’s unmanned traffic management system</w:t>
      </w:r>
      <w:r>
        <w:rPr>
          <w:rStyle w:val="FootnoteReference"/>
          <w:rFonts w:ascii="Times New Roman" w:hAnsi="Times New Roman" w:cs="Times New Roman"/>
          <w:noProof/>
          <w:sz w:val="24"/>
          <w:szCs w:val="24"/>
        </w:rPr>
        <w:footnoteReference w:id="42"/>
      </w:r>
      <w:r>
        <w:rPr>
          <w:rFonts w:ascii="Times New Roman" w:hAnsi="Times New Roman" w:cs="Times New Roman"/>
          <w:noProof/>
          <w:sz w:val="24"/>
          <w:szCs w:val="24"/>
        </w:rPr>
        <w:t xml:space="preserve">, to ensure safer and more secure drone operations. Combined, these steps will make it harder for individuals to fly drones in restricted areas and will help in identifying and prosecuting offenders. </w:t>
      </w:r>
    </w:p>
    <w:p w:rsidR="00872751" w:rsidRDefault="008477BD">
      <w:pPr>
        <w:spacing w:after="120" w:line="240" w:lineRule="auto"/>
        <w:jc w:val="both"/>
        <w:rPr>
          <w:rFonts w:ascii="Times New Roman" w:eastAsia="Times New Roman" w:hAnsi="Times New Roman" w:cs="Times New Roman"/>
          <w:noProof/>
          <w:sz w:val="24"/>
          <w:szCs w:val="24"/>
          <w:lang w:val="en-IE"/>
        </w:rPr>
      </w:pPr>
      <w:r>
        <w:rPr>
          <w:rFonts w:ascii="Times New Roman" w:hAnsi="Times New Roman" w:cs="Times New Roman"/>
          <w:noProof/>
          <w:sz w:val="24"/>
          <w:szCs w:val="24"/>
        </w:rPr>
        <w:t xml:space="preserve">The Commission is also working to support law enforcement, critical infrastructure operators, mass event organisers and other stakeholders to counter the non-cooperative use of drones, for instance, working with the European Union Aviation Safety Agency to develop </w:t>
      </w:r>
      <w:r>
        <w:rPr>
          <w:rFonts w:ascii="Times New Roman" w:hAnsi="Times New Roman"/>
          <w:b/>
          <w:bCs/>
          <w:noProof/>
          <w:sz w:val="24"/>
          <w:szCs w:val="24"/>
        </w:rPr>
        <w:t xml:space="preserve">good </w:t>
      </w:r>
      <w:r>
        <w:rPr>
          <w:rFonts w:ascii="Times New Roman" w:hAnsi="Times New Roman" w:cs="Times New Roman"/>
          <w:b/>
          <w:bCs/>
          <w:noProof/>
          <w:sz w:val="24"/>
          <w:szCs w:val="24"/>
        </w:rPr>
        <w:t>practices</w:t>
      </w:r>
      <w:r>
        <w:rPr>
          <w:rFonts w:ascii="Times New Roman" w:hAnsi="Times New Roman"/>
          <w:b/>
          <w:bCs/>
          <w:noProof/>
          <w:sz w:val="24"/>
          <w:szCs w:val="24"/>
        </w:rPr>
        <w:t xml:space="preserve"> to help </w:t>
      </w:r>
      <w:r>
        <w:rPr>
          <w:rFonts w:ascii="Times New Roman" w:hAnsi="Times New Roman" w:cs="Times New Roman"/>
          <w:b/>
          <w:bCs/>
          <w:noProof/>
          <w:sz w:val="24"/>
          <w:szCs w:val="24"/>
        </w:rPr>
        <w:t>airport stakeholders</w:t>
      </w:r>
      <w:r>
        <w:rPr>
          <w:rFonts w:ascii="Times New Roman" w:hAnsi="Times New Roman" w:cs="Times New Roman"/>
          <w:noProof/>
          <w:sz w:val="24"/>
          <w:szCs w:val="24"/>
        </w:rPr>
        <w:t xml:space="preserve"> respond to unauthorised drone incidents, facilitating more harmonised </w:t>
      </w:r>
      <w:r>
        <w:rPr>
          <w:rFonts w:ascii="Times New Roman" w:hAnsi="Times New Roman" w:cs="Times New Roman"/>
          <w:b/>
          <w:bCs/>
          <w:noProof/>
          <w:sz w:val="24"/>
          <w:szCs w:val="24"/>
        </w:rPr>
        <w:t xml:space="preserve">countermeasure </w:t>
      </w:r>
      <w:r>
        <w:rPr>
          <w:rFonts w:ascii="Times New Roman" w:hAnsi="Times New Roman"/>
          <w:b/>
          <w:bCs/>
          <w:noProof/>
          <w:sz w:val="24"/>
          <w:szCs w:val="24"/>
        </w:rPr>
        <w:t xml:space="preserve">testing </w:t>
      </w:r>
      <w:r>
        <w:rPr>
          <w:rFonts w:ascii="Times New Roman" w:hAnsi="Times New Roman" w:cs="Times New Roman"/>
          <w:b/>
          <w:bCs/>
          <w:noProof/>
          <w:sz w:val="24"/>
          <w:szCs w:val="24"/>
        </w:rPr>
        <w:t>efforts</w:t>
      </w:r>
      <w:r>
        <w:rPr>
          <w:rFonts w:ascii="Times New Roman" w:hAnsi="Times New Roman" w:cs="Times New Roman"/>
          <w:noProof/>
          <w:sz w:val="24"/>
          <w:szCs w:val="24"/>
        </w:rPr>
        <w:t xml:space="preserve"> around the EU,</w:t>
      </w:r>
      <w:r>
        <w:rPr>
          <w:rFonts w:ascii="Times New Roman" w:hAnsi="Times New Roman"/>
          <w:noProof/>
          <w:sz w:val="24"/>
          <w:szCs w:val="24"/>
        </w:rPr>
        <w:t xml:space="preserve"> and </w:t>
      </w:r>
      <w:r>
        <w:rPr>
          <w:rFonts w:ascii="Times New Roman" w:hAnsi="Times New Roman" w:cs="Times New Roman"/>
          <w:noProof/>
          <w:sz w:val="24"/>
          <w:szCs w:val="24"/>
        </w:rPr>
        <w:t>developing a practical</w:t>
      </w:r>
      <w:r>
        <w:rPr>
          <w:rFonts w:ascii="Times New Roman" w:hAnsi="Times New Roman" w:cs="Times New Roman"/>
          <w:b/>
          <w:bCs/>
          <w:noProof/>
          <w:sz w:val="24"/>
          <w:szCs w:val="24"/>
        </w:rPr>
        <w:t xml:space="preserve"> </w:t>
      </w:r>
      <w:r>
        <w:rPr>
          <w:rFonts w:ascii="Times New Roman" w:hAnsi="Times New Roman" w:cs="Times New Roman"/>
          <w:noProof/>
          <w:sz w:val="24"/>
          <w:szCs w:val="24"/>
        </w:rPr>
        <w:t>handbook for</w:t>
      </w:r>
      <w:r>
        <w:rPr>
          <w:rFonts w:ascii="Times New Roman" w:hAnsi="Times New Roman"/>
          <w:noProof/>
          <w:sz w:val="24"/>
          <w:szCs w:val="24"/>
        </w:rPr>
        <w:t xml:space="preserve"> stakeholders, focused on the</w:t>
      </w:r>
      <w:r>
        <w:rPr>
          <w:rFonts w:ascii="Times New Roman" w:hAnsi="Times New Roman" w:cs="Times New Roman"/>
          <w:noProof/>
          <w:sz w:val="24"/>
          <w:szCs w:val="24"/>
        </w:rPr>
        <w:t xml:space="preserve"> urban context</w:t>
      </w:r>
      <w:r>
        <w:rPr>
          <w:rFonts w:ascii="Times New Roman" w:hAnsi="Times New Roman"/>
          <w:noProof/>
          <w:sz w:val="24"/>
          <w:szCs w:val="24"/>
        </w:rPr>
        <w:t>.</w:t>
      </w:r>
      <w:r>
        <w:rPr>
          <w:rFonts w:ascii="Times New Roman" w:eastAsia="Times New Roman" w:hAnsi="Times New Roman" w:cs="Times New Roman"/>
          <w:noProof/>
          <w:sz w:val="24"/>
          <w:szCs w:val="24"/>
          <w:lang w:val="en-IE"/>
        </w:rPr>
        <w:t xml:space="preserve"> </w:t>
      </w:r>
    </w:p>
    <w:p w:rsidR="00872751" w:rsidRDefault="008477BD">
      <w:pPr>
        <w:spacing w:after="120" w:line="240" w:lineRule="auto"/>
        <w:jc w:val="both"/>
        <w:rPr>
          <w:rFonts w:ascii="Times New Roman" w:eastAsia="Times New Roman" w:hAnsi="Times New Roman" w:cs="Times New Roman"/>
          <w:noProof/>
          <w:sz w:val="24"/>
          <w:szCs w:val="24"/>
          <w:lang w:val="en-IE"/>
        </w:rPr>
      </w:pPr>
      <w:r>
        <w:rPr>
          <w:rFonts w:ascii="Times New Roman" w:eastAsia="Times New Roman" w:hAnsi="Times New Roman" w:cs="Times New Roman"/>
          <w:noProof/>
          <w:sz w:val="24"/>
          <w:szCs w:val="24"/>
          <w:lang w:val="en-IE"/>
        </w:rPr>
        <w:t xml:space="preserve">An </w:t>
      </w:r>
      <w:r>
        <w:rPr>
          <w:rFonts w:ascii="Times New Roman" w:eastAsia="Times New Roman" w:hAnsi="Times New Roman" w:cs="Times New Roman"/>
          <w:b/>
          <w:bCs/>
          <w:noProof/>
          <w:sz w:val="24"/>
          <w:szCs w:val="24"/>
          <w:lang w:val="en-IE"/>
        </w:rPr>
        <w:t>EU Digital Autumn School for the protection of public spaces</w:t>
      </w:r>
      <w:r>
        <w:rPr>
          <w:rFonts w:ascii="Times New Roman" w:eastAsia="Times New Roman" w:hAnsi="Times New Roman" w:cs="Times New Roman"/>
          <w:noProof/>
          <w:sz w:val="24"/>
          <w:szCs w:val="24"/>
          <w:lang w:val="en-IE"/>
        </w:rPr>
        <w:t xml:space="preserve">, organised by the Commission’s Joint Research Centre in October 2020, gathered more than 200 urban planners and public and private operators of public spaces. Sessions examined a wide range of topics, such as how to protect against blasts and vehicle ramming, mitigating the threats posed by hostile drones in urban settings, and the use of surveillance and detection technologies. </w:t>
      </w:r>
    </w:p>
    <w:p w:rsidR="00872751" w:rsidRDefault="008477BD">
      <w:pPr>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val="en-IE"/>
        </w:rPr>
        <w:t xml:space="preserve">The Commission has also continued to actively support the </w:t>
      </w:r>
      <w:r>
        <w:rPr>
          <w:rFonts w:ascii="Times New Roman" w:eastAsia="Times New Roman" w:hAnsi="Times New Roman" w:cs="Times New Roman"/>
          <w:b/>
          <w:bCs/>
          <w:noProof/>
          <w:sz w:val="24"/>
          <w:szCs w:val="24"/>
          <w:lang w:val="en-IE"/>
        </w:rPr>
        <w:t xml:space="preserve">Partnership for Security in Public Spaces, </w:t>
      </w:r>
      <w:r>
        <w:rPr>
          <w:rFonts w:ascii="Times New Roman" w:hAnsi="Times New Roman" w:cs="Times New Roman"/>
          <w:noProof/>
          <w:sz w:val="24"/>
          <w:szCs w:val="24"/>
        </w:rPr>
        <w:t>launched in January 2019 under the Urban Agenda for the EU</w:t>
      </w:r>
      <w:r>
        <w:rPr>
          <w:rFonts w:ascii="Times New Roman" w:eastAsia="Times New Roman" w:hAnsi="Times New Roman" w:cs="Times New Roman"/>
          <w:noProof/>
          <w:sz w:val="24"/>
          <w:szCs w:val="24"/>
          <w:lang w:val="en-IE"/>
        </w:rPr>
        <w:t>, which has published its new Action Plan</w:t>
      </w:r>
      <w:r>
        <w:rPr>
          <w:rStyle w:val="FootnoteReference"/>
          <w:rFonts w:ascii="Times New Roman" w:eastAsia="Times New Roman" w:hAnsi="Times New Roman" w:cs="Times New Roman"/>
          <w:noProof/>
          <w:sz w:val="24"/>
          <w:szCs w:val="24"/>
          <w:lang w:val="en-IE"/>
        </w:rPr>
        <w:footnoteReference w:id="43"/>
      </w:r>
      <w:r>
        <w:rPr>
          <w:rFonts w:ascii="Times New Roman" w:eastAsia="Times New Roman" w:hAnsi="Times New Roman" w:cs="Times New Roman"/>
          <w:noProof/>
          <w:sz w:val="24"/>
          <w:szCs w:val="24"/>
          <w:lang w:val="en-IE"/>
        </w:rPr>
        <w:t xml:space="preserve"> to tackle urban security at various levels of governance. The actions include the creation of a framework for a self-assessment tool, recommendations for policy-making, multi-level governance and funding, </w:t>
      </w:r>
      <w:r>
        <w:rPr>
          <w:rFonts w:ascii="Times New Roman" w:hAnsi="Times New Roman" w:cs="Times New Roman"/>
          <w:noProof/>
          <w:sz w:val="24"/>
          <w:szCs w:val="24"/>
        </w:rPr>
        <w:t>innovation through smart solutions and technologies, including the concept of security by design, prevention and social inclusion</w:t>
      </w:r>
      <w:r>
        <w:rPr>
          <w:rFonts w:ascii="Times New Roman" w:eastAsia="Times New Roman" w:hAnsi="Times New Roman" w:cs="Times New Roman"/>
          <w:noProof/>
          <w:sz w:val="24"/>
          <w:szCs w:val="24"/>
          <w:lang w:val="en-IE"/>
        </w:rPr>
        <w:t xml:space="preserve">. </w:t>
      </w:r>
      <w:r>
        <w:rPr>
          <w:rFonts w:ascii="Times New Roman" w:hAnsi="Times New Roman" w:cs="Times New Roman"/>
          <w:noProof/>
          <w:sz w:val="24"/>
          <w:szCs w:val="24"/>
        </w:rPr>
        <w:t xml:space="preserve">The Partnership will now enter the implementation phase.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Support to improve security in public spaces at the local level was also provided through the 4th call of the Urban Innovative Actions. Three cities have been selected and are testing new solutions on urban security matters (Piraeus in Greece, Tampere in Finland and Turin in Italy), through funding from the European Regional Development Fund. </w:t>
      </w:r>
    </w:p>
    <w:p w:rsidR="00872751" w:rsidRDefault="008477BD">
      <w:pPr>
        <w:spacing w:after="0" w:line="240" w:lineRule="auto"/>
        <w:jc w:val="both"/>
        <w:rPr>
          <w:rFonts w:ascii="Times New Roman" w:hAnsi="Times New Roman" w:cs="Times New Roman"/>
          <w:noProof/>
          <w:sz w:val="24"/>
          <w:szCs w:val="24"/>
        </w:rPr>
      </w:pPr>
      <w:r>
        <w:rPr>
          <w:noProof/>
          <w:lang w:val="en-GB" w:eastAsia="en-GB"/>
        </w:rPr>
        <w:drawing>
          <wp:anchor distT="0" distB="0" distL="114300" distR="114300" simplePos="0" relativeHeight="251655680" behindDoc="0" locked="0" layoutInCell="1" allowOverlap="1">
            <wp:simplePos x="0" y="0"/>
            <wp:positionH relativeFrom="margin">
              <wp:posOffset>1715135</wp:posOffset>
            </wp:positionH>
            <wp:positionV relativeFrom="margin">
              <wp:posOffset>2586990</wp:posOffset>
            </wp:positionV>
            <wp:extent cx="4354830" cy="3176270"/>
            <wp:effectExtent l="0" t="0" r="7620" b="508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extLst>
                        <a:ext uri="{28A0092B-C50C-407E-A947-70E740481C1C}">
                          <a14:useLocalDpi xmlns:a14="http://schemas.microsoft.com/office/drawing/2010/main" val="0"/>
                        </a:ext>
                      </a:extLst>
                    </a:blip>
                    <a:srcRect/>
                    <a:stretch/>
                  </pic:blipFill>
                  <pic:spPr bwMode="auto">
                    <a:xfrm>
                      <a:off x="0" y="0"/>
                      <a:ext cx="4354830" cy="3176270"/>
                    </a:xfrm>
                    <a:prstGeom prst="rect">
                      <a:avLst/>
                    </a:prstGeom>
                    <a:ln>
                      <a:noFill/>
                    </a:ln>
                    <a:extLst>
                      <a:ext uri="{53640926-AAD7-44D8-BBD7-CCE9431645EC}">
                        <a14:shadowObscured xmlns:a14="http://schemas.microsoft.com/office/drawing/2010/main"/>
                      </a:ext>
                    </a:extLst>
                  </pic:spPr>
                </pic:pic>
              </a:graphicData>
            </a:graphic>
          </wp:anchor>
        </w:drawing>
      </w:r>
      <w:r>
        <w:rPr>
          <w:rFonts w:ascii="Times New Roman" w:hAnsi="Times New Roman" w:cs="Times New Roman"/>
          <w:noProof/>
          <w:sz w:val="24"/>
          <w:szCs w:val="24"/>
        </w:rPr>
        <w:t>In terms of response, the Commission has also developed a European framework to enhance preparedness and response to mass burn casualty incidents, exploiting the overall European burn care capacity to treat patients through cooperation at EU level. The Union Civil Protection Mechanism can be used to support large numbers of patients with serious burn injuries by providing access to burn beds in specialised treatment centres, burn assessment experts, and medical evacuation capacities.</w:t>
      </w:r>
    </w:p>
    <w:p w:rsidR="00872751" w:rsidRDefault="008477BD">
      <w:pPr>
        <w:spacing w:before="360" w:after="240" w:line="240" w:lineRule="auto"/>
        <w:rPr>
          <w:rFonts w:ascii="Times New Roman" w:hAnsi="Times New Roman"/>
          <w:b/>
          <w:noProof/>
          <w:sz w:val="24"/>
          <w:u w:val="single"/>
        </w:rPr>
      </w:pPr>
      <w:r>
        <w:rPr>
          <w:rFonts w:ascii="Times New Roman" w:hAnsi="Times New Roman" w:cs="Times New Roman"/>
          <w:b/>
          <w:bCs/>
          <w:noProof/>
          <w:sz w:val="24"/>
          <w:szCs w:val="24"/>
          <w:lang w:eastAsia="en-GB"/>
        </w:rPr>
        <w:t>III</w:t>
      </w:r>
      <w:r>
        <w:rPr>
          <w:rFonts w:ascii="Times New Roman" w:hAnsi="Times New Roman" w:cs="Times New Roman"/>
          <w:b/>
          <w:bCs/>
          <w:noProof/>
          <w:sz w:val="24"/>
          <w:szCs w:val="24"/>
          <w:lang w:eastAsia="en-GB"/>
        </w:rPr>
        <w:tab/>
        <w:t>TACKLING EVOLVING THREATS</w:t>
      </w:r>
    </w:p>
    <w:p w:rsidR="00872751" w:rsidRDefault="008477BD">
      <w:pPr>
        <w:pStyle w:val="ListParagraph"/>
        <w:numPr>
          <w:ilvl w:val="0"/>
          <w:numId w:val="27"/>
        </w:numPr>
        <w:spacing w:after="120" w:line="240" w:lineRule="auto"/>
        <w:jc w:val="both"/>
        <w:rPr>
          <w:rFonts w:ascii="Times New Roman" w:hAnsi="Times New Roman"/>
          <w:b/>
          <w:i/>
          <w:noProof/>
          <w:sz w:val="24"/>
        </w:rPr>
      </w:pPr>
      <w:r>
        <w:rPr>
          <w:rFonts w:ascii="Times New Roman" w:hAnsi="Times New Roman" w:cs="Times New Roman"/>
          <w:b/>
          <w:bCs/>
          <w:i/>
          <w:iCs/>
          <w:noProof/>
          <w:sz w:val="24"/>
          <w:szCs w:val="24"/>
        </w:rPr>
        <w:t xml:space="preserve">Cybercrime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Shortcomings in cybersecurity are often exploited by criminals. This has been clearer than ever during the COVID-19 crisis. There has been an increase in ‘classic’ cybercrime using malware and ransomware (i.e. to steal personal and payment data or to blackmail victims) as well as a</w:t>
      </w:r>
      <w:r>
        <w:rPr>
          <w:rFonts w:ascii="Times New Roman" w:eastAsia="Times New Roman" w:hAnsi="Times New Roman" w:cs="Times New Roman"/>
          <w:noProof/>
          <w:sz w:val="24"/>
          <w:szCs w:val="24"/>
        </w:rPr>
        <w:t xml:space="preserve"> proliferation of new websites that lure users into installing malware. Cyber-attacks on healthcare and research infrastructure have occurred, locking up ICT systems that can only be unlocked against a ransom payment or with access to information on vaccine development</w:t>
      </w:r>
      <w:r>
        <w:rPr>
          <w:rStyle w:val="FootnoteReference"/>
          <w:rFonts w:ascii="Times New Roman" w:eastAsia="Times New Roman" w:hAnsi="Times New Roman" w:cs="Times New Roman"/>
          <w:noProof/>
          <w:sz w:val="24"/>
          <w:szCs w:val="24"/>
        </w:rPr>
        <w:footnoteReference w:id="44"/>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A significant rise in child sexual abuse and child sexual abuse material has also been observed</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 xml:space="preserve">. </w:t>
      </w:r>
    </w:p>
    <w:p w:rsidR="00872751" w:rsidRDefault="008477BD">
      <w:pPr>
        <w:spacing w:after="120" w:line="240" w:lineRule="auto"/>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An effective response to cybercrime requires a strong framework for criminal investigations and prosecutions, and a key first step is full transposition and implementation of the Directive on </w:t>
      </w:r>
      <w:r>
        <w:rPr>
          <w:rFonts w:ascii="Times New Roman" w:eastAsia="Times New Roman" w:hAnsi="Times New Roman" w:cs="Times New Roman"/>
          <w:b/>
          <w:bCs/>
          <w:noProof/>
          <w:sz w:val="24"/>
          <w:szCs w:val="24"/>
        </w:rPr>
        <w:t>attacks against information systems</w:t>
      </w:r>
      <w:r>
        <w:rPr>
          <w:rStyle w:val="FootnoteReference"/>
          <w:rFonts w:ascii="Times New Roman" w:eastAsia="Times New Roman" w:hAnsi="Times New Roman" w:cs="Times New Roman"/>
          <w:noProof/>
          <w:sz w:val="24"/>
          <w:szCs w:val="24"/>
        </w:rPr>
        <w:footnoteReference w:id="46"/>
      </w:r>
      <w:r>
        <w:rPr>
          <w:rFonts w:ascii="Times New Roman" w:eastAsia="Times New Roman" w:hAnsi="Times New Roman" w:cs="Times New Roman"/>
          <w:noProof/>
          <w:sz w:val="24"/>
          <w:szCs w:val="24"/>
        </w:rPr>
        <w:t xml:space="preserve">. The Commission is monitoring the actions of Bulgaria, Italy, Portugal and Slovenia following the opening of infringement cases in 2019. Progress is also needed on implementation of the 2011 </w:t>
      </w:r>
      <w:r>
        <w:rPr>
          <w:rFonts w:ascii="Times New Roman" w:eastAsia="Times New Roman" w:hAnsi="Times New Roman" w:cs="Times New Roman"/>
          <w:b/>
          <w:bCs/>
          <w:noProof/>
          <w:sz w:val="24"/>
          <w:szCs w:val="24"/>
        </w:rPr>
        <w:t>Directive on combating child sexual abuse</w:t>
      </w:r>
      <w:r>
        <w:rPr>
          <w:rStyle w:val="FootnoteReference"/>
          <w:rFonts w:ascii="Times New Roman" w:eastAsia="Times New Roman" w:hAnsi="Times New Roman" w:cs="Times New Roman"/>
          <w:noProof/>
          <w:sz w:val="24"/>
          <w:szCs w:val="24"/>
        </w:rPr>
        <w:footnoteReference w:id="47"/>
      </w:r>
      <w:r>
        <w:rPr>
          <w:rFonts w:ascii="Times New Roman" w:eastAsia="Times New Roman" w:hAnsi="Times New Roman" w:cs="Times New Roman"/>
          <w:noProof/>
          <w:sz w:val="24"/>
          <w:szCs w:val="24"/>
        </w:rPr>
        <w:t xml:space="preserve">. The areas in which efforts are still needed include prevention, substantive criminal law, assistance, support and protection measures for child victims. </w:t>
      </w:r>
      <w:r>
        <w:rPr>
          <w:rFonts w:ascii="Times New Roman" w:eastAsia="Times New Roman" w:hAnsi="Times New Roman" w:cs="Times New Roman"/>
          <w:noProof/>
          <w:sz w:val="24"/>
          <w:szCs w:val="24"/>
        </w:rPr>
        <w:lastRenderedPageBreak/>
        <w:t>Since 2018, the Commission has opened infringement procedures against 25 Member States</w:t>
      </w:r>
      <w:r>
        <w:rPr>
          <w:rStyle w:val="FootnoteReference"/>
          <w:rFonts w:ascii="Times New Roman" w:eastAsia="Times New Roman" w:hAnsi="Times New Roman" w:cs="Times New Roman"/>
          <w:noProof/>
          <w:sz w:val="24"/>
          <w:szCs w:val="24"/>
        </w:rPr>
        <w:footnoteReference w:id="48"/>
      </w:r>
      <w:r>
        <w:rPr>
          <w:rFonts w:ascii="Times New Roman" w:eastAsia="Times New Roman" w:hAnsi="Times New Roman" w:cs="Times New Roman"/>
          <w:noProof/>
          <w:sz w:val="24"/>
          <w:szCs w:val="24"/>
        </w:rPr>
        <w:t>.</w:t>
      </w:r>
    </w:p>
    <w:p w:rsidR="00872751" w:rsidRDefault="008477BD">
      <w:pPr>
        <w:spacing w:after="120" w:line="240" w:lineRule="auto"/>
        <w:jc w:val="both"/>
        <w:rPr>
          <w:rFonts w:ascii="Times New Roman" w:hAnsi="Times New Roman" w:cs="Times New Roman"/>
          <w:noProof/>
          <w:color w:val="000000"/>
          <w:sz w:val="24"/>
          <w:szCs w:val="24"/>
          <w:lang w:val="en-IE"/>
        </w:rPr>
      </w:pPr>
      <w:r>
        <w:rPr>
          <w:rFonts w:ascii="Times New Roman" w:eastAsia="Calibri" w:hAnsi="Times New Roman" w:cs="Times New Roman"/>
          <w:noProof/>
          <w:sz w:val="24"/>
          <w:szCs w:val="24"/>
        </w:rPr>
        <w:t xml:space="preserve">On 24 July 2020, the Commission adopted an </w:t>
      </w:r>
      <w:r>
        <w:rPr>
          <w:rFonts w:ascii="Times New Roman" w:eastAsia="Calibri" w:hAnsi="Times New Roman" w:cs="Times New Roman"/>
          <w:b/>
          <w:bCs/>
          <w:noProof/>
          <w:sz w:val="24"/>
          <w:szCs w:val="24"/>
        </w:rPr>
        <w:t>EU strategy for a more effective fight against child sexual abuse</w:t>
      </w:r>
      <w:r>
        <w:rPr>
          <w:noProof/>
          <w:vertAlign w:val="superscript"/>
        </w:rPr>
        <w:footnoteReference w:id="49"/>
      </w:r>
      <w:r>
        <w:rPr>
          <w:rFonts w:ascii="Times New Roman" w:eastAsia="Calibri" w:hAnsi="Times New Roman" w:cs="Times New Roman"/>
          <w:noProof/>
          <w:sz w:val="24"/>
          <w:szCs w:val="24"/>
        </w:rPr>
        <w:t xml:space="preserve">, which aims to provide an effective EU response to the crime of child sexual abuse. A specific challenge has also emerged </w:t>
      </w:r>
      <w:r>
        <w:rPr>
          <w:rFonts w:ascii="Times New Roman" w:eastAsia="Times New Roman" w:hAnsi="Times New Roman" w:cs="Times New Roman"/>
          <w:noProof/>
          <w:sz w:val="24"/>
          <w:szCs w:val="24"/>
        </w:rPr>
        <w:t xml:space="preserve">as, from 21 December 2020, certain online communication services, like webmail or messaging services, will fall under the scope of the e-Privacy Directive and they are covered by the revised definitions in the European Electronic Communications Code. As a result, there is a clear risk that providers of those services that undertake certain important voluntary activities for the purpose of detecting, tackling and reporting child sexual abuse online today would have to stop doing so. The Commission has therefore proposed a </w:t>
      </w:r>
      <w:r>
        <w:rPr>
          <w:rFonts w:ascii="Times New Roman" w:eastAsia="Times New Roman" w:hAnsi="Times New Roman" w:cs="Times New Roman"/>
          <w:b/>
          <w:bCs/>
          <w:noProof/>
          <w:sz w:val="24"/>
          <w:szCs w:val="24"/>
        </w:rPr>
        <w:t>Regulation</w:t>
      </w:r>
      <w:r>
        <w:rPr>
          <w:rStyle w:val="FootnoteReference"/>
          <w:rFonts w:ascii="Times New Roman" w:eastAsia="Times New Roman" w:hAnsi="Times New Roman" w:cs="Times New Roman"/>
          <w:b/>
          <w:bCs/>
          <w:noProof/>
          <w:sz w:val="24"/>
          <w:szCs w:val="24"/>
        </w:rPr>
        <w:footnoteReference w:id="50"/>
      </w:r>
      <w:r>
        <w:rPr>
          <w:rFonts w:ascii="Times New Roman" w:eastAsia="Times New Roman" w:hAnsi="Times New Roman" w:cs="Times New Roman"/>
          <w:noProof/>
          <w:sz w:val="24"/>
          <w:szCs w:val="24"/>
        </w:rPr>
        <w:t xml:space="preserve"> to allow these voluntary activities to continue under certain conditions, until a long-term legislative solution. The Commission is working on a proposal for such a solution, scheduled for adoption in 2021</w:t>
      </w:r>
      <w:r>
        <w:rPr>
          <w:rFonts w:ascii="Times New Roman" w:hAnsi="Times New Roman" w:cs="Times New Roman"/>
          <w:noProof/>
          <w:sz w:val="24"/>
          <w:szCs w:val="24"/>
        </w:rPr>
        <w:t xml:space="preserve">. </w:t>
      </w:r>
    </w:p>
    <w:p w:rsidR="00872751" w:rsidRDefault="008477BD">
      <w:pPr>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 xml:space="preserve">A </w:t>
      </w:r>
      <w:r>
        <w:rPr>
          <w:rFonts w:ascii="Times New Roman" w:eastAsia="Times New Roman" w:hAnsi="Times New Roman" w:cs="Times New Roman"/>
          <w:b/>
          <w:bCs/>
          <w:noProof/>
          <w:sz w:val="24"/>
          <w:szCs w:val="24"/>
        </w:rPr>
        <w:t>COVID-19 Cyber Defence Alliance</w:t>
      </w:r>
      <w:r>
        <w:rPr>
          <w:rFonts w:ascii="Times New Roman" w:eastAsia="Times New Roman" w:hAnsi="Times New Roman" w:cs="Times New Roman"/>
          <w:noProof/>
          <w:sz w:val="24"/>
          <w:szCs w:val="24"/>
        </w:rPr>
        <w:t xml:space="preserve"> has been established by the European network of Cybersecurity centres and competence Hub for innovation and Operations to develop innovative approaches to counter COVID-19 related crimes. In April 2020, a dedicated </w:t>
      </w:r>
      <w:r>
        <w:rPr>
          <w:rFonts w:ascii="Times New Roman" w:hAnsi="Times New Roman" w:cs="Times New Roman"/>
          <w:noProof/>
          <w:sz w:val="24"/>
          <w:szCs w:val="24"/>
        </w:rPr>
        <w:t>EIC COVID Platform</w:t>
      </w:r>
      <w:r>
        <w:rPr>
          <w:rStyle w:val="FootnoteReference"/>
          <w:rFonts w:ascii="Times New Roman" w:hAnsi="Times New Roman" w:cs="Times New Roman"/>
          <w:noProof/>
          <w:sz w:val="24"/>
          <w:szCs w:val="24"/>
        </w:rPr>
        <w:footnoteReference w:id="51"/>
      </w:r>
      <w:r>
        <w:rPr>
          <w:rFonts w:ascii="Times New Roman" w:hAnsi="Times New Roman" w:cs="Times New Roman"/>
          <w:noProof/>
          <w:sz w:val="24"/>
          <w:szCs w:val="24"/>
        </w:rPr>
        <w:t xml:space="preserve"> was set up to connect civil society, innovators, partners, and investors across Europe in order to develop innovative solutions.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 order to ensure a more effective prosecution of crimes and in view of the importance of electronic information and evidence in criminal investigations, law enforcement and judicial authorities should swiftly obtain access to such information and evidence for their criminal investigations. This was recognised in the Joint Statement by the EU Home Affairs Ministers of 13 November 2020</w:t>
      </w:r>
      <w:r>
        <w:rPr>
          <w:rStyle w:val="FootnoteReference"/>
          <w:rFonts w:ascii="Times New Roman" w:hAnsi="Times New Roman" w:cs="Times New Roman"/>
          <w:noProof/>
          <w:sz w:val="24"/>
          <w:szCs w:val="24"/>
        </w:rPr>
        <w:footnoteReference w:id="52"/>
      </w:r>
      <w:r>
        <w:rPr>
          <w:rFonts w:ascii="Times New Roman" w:hAnsi="Times New Roman" w:cs="Times New Roman"/>
          <w:noProof/>
          <w:sz w:val="24"/>
          <w:szCs w:val="24"/>
        </w:rPr>
        <w:t>. Europol, Eurojust and the European Judicial Network publish on 1 December 2020 their second “SIRIUS EU Digital Evidence Situation Report”. The report highlights the increased relevance of electronic evidence in criminal investigations</w:t>
      </w:r>
      <w:r>
        <w:rPr>
          <w:rStyle w:val="FootnoteReference"/>
          <w:rFonts w:ascii="Times New Roman" w:hAnsi="Times New Roman" w:cs="Times New Roman"/>
          <w:noProof/>
          <w:sz w:val="24"/>
          <w:szCs w:val="24"/>
        </w:rPr>
        <w:footnoteReference w:id="53"/>
      </w:r>
      <w:r>
        <w:rPr>
          <w:rFonts w:ascii="Times New Roman" w:hAnsi="Times New Roman" w:cs="Times New Roman"/>
          <w:noProof/>
          <w:sz w:val="24"/>
          <w:szCs w:val="24"/>
        </w:rPr>
        <w:t xml:space="preserve">. On the Commission’s proposals on </w:t>
      </w:r>
      <w:r>
        <w:rPr>
          <w:rFonts w:ascii="Times New Roman" w:hAnsi="Times New Roman" w:cs="Times New Roman"/>
          <w:b/>
          <w:bCs/>
          <w:noProof/>
          <w:sz w:val="24"/>
          <w:szCs w:val="24"/>
        </w:rPr>
        <w:t>cross-border access to electronic evidence</w:t>
      </w:r>
      <w:r>
        <w:rPr>
          <w:rStyle w:val="FootnoteReference"/>
          <w:rFonts w:ascii="Times New Roman" w:hAnsi="Times New Roman" w:cs="Times New Roman"/>
          <w:b/>
          <w:bCs/>
          <w:noProof/>
          <w:sz w:val="24"/>
          <w:szCs w:val="24"/>
        </w:rPr>
        <w:footnoteReference w:id="54"/>
      </w:r>
      <w:r>
        <w:rPr>
          <w:rFonts w:ascii="Times New Roman" w:hAnsi="Times New Roman" w:cs="Times New Roman"/>
          <w:noProof/>
          <w:sz w:val="24"/>
          <w:szCs w:val="24"/>
        </w:rPr>
        <w:t xml:space="preserve"> from April 2018, the European Parliament has not yet established its position, therefore the negotiations between the co-legislators are yet to start. Delays to adoption of these proposals are holding back the work of law enforcement and judicial authorities, as well as complicating ongoing efforts to establish compatible rules for cross-border access to e-evidence through international negotiations</w:t>
      </w:r>
      <w:r>
        <w:rPr>
          <w:rStyle w:val="FootnoteReference"/>
          <w:rFonts w:ascii="Times New Roman" w:hAnsi="Times New Roman" w:cs="Times New Roman"/>
          <w:noProof/>
          <w:sz w:val="24"/>
          <w:szCs w:val="24"/>
        </w:rPr>
        <w:footnoteReference w:id="55"/>
      </w:r>
      <w:r>
        <w:rPr>
          <w:rFonts w:ascii="Times New Roman" w:hAnsi="Times New Roman" w:cs="Times New Roman"/>
          <w:noProof/>
          <w:sz w:val="24"/>
          <w:szCs w:val="24"/>
        </w:rPr>
        <w:t xml:space="preserv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At international level, the Commission participates, on behalf of the EU, in the ongoing negotiations of the Second Additional Protocol to the Council of Europe </w:t>
      </w:r>
      <w:r>
        <w:rPr>
          <w:rFonts w:ascii="Times New Roman" w:hAnsi="Times New Roman" w:cs="Times New Roman"/>
          <w:b/>
          <w:bCs/>
          <w:noProof/>
          <w:sz w:val="24"/>
          <w:szCs w:val="24"/>
        </w:rPr>
        <w:t>Budapest Convention on cybercrime</w:t>
      </w:r>
      <w:r>
        <w:rPr>
          <w:rFonts w:ascii="Times New Roman" w:hAnsi="Times New Roman" w:cs="Times New Roman"/>
          <w:noProof/>
          <w:sz w:val="24"/>
          <w:szCs w:val="24"/>
        </w:rPr>
        <w:t xml:space="preserve">. This Protocol would provide competent law enforcement authorities with enhanced, far-reaching tools for cross-border cooperation for the investigation and prosecution of cybercrime and other serious forms of crime, including direct cooperation with service providers. Since most of these enhanced, reinforced ways of cooperation will rely on the exchange of personal data, it is essential that the future Protocol will provide for appropriate data protection safeguards, not only from a fundamental rights perspective, but also to ensure legal certainty, mutual trust and the effectiveness of operational law enforcement cooperation.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negotiations should be concluded in 2021. In parallel, further to the mandate received by the JHA Council last year, the Commission is negotiating an </w:t>
      </w:r>
      <w:r>
        <w:rPr>
          <w:rFonts w:ascii="Times New Roman" w:hAnsi="Times New Roman" w:cs="Times New Roman"/>
          <w:b/>
          <w:bCs/>
          <w:noProof/>
          <w:sz w:val="24"/>
          <w:szCs w:val="24"/>
        </w:rPr>
        <w:t>EU-US agreement on cross-border access to electronic evidence</w:t>
      </w:r>
      <w:r>
        <w:rPr>
          <w:rFonts w:ascii="Times New Roman" w:hAnsi="Times New Roman" w:cs="Times New Roman"/>
          <w:noProof/>
          <w:sz w:val="24"/>
          <w:szCs w:val="24"/>
        </w:rPr>
        <w:t xml:space="preserve">. This would complement the proposed internal EU rules for direct cross-border cooperation with service providers, by removing conflicts of law and providing for common rules and safeguards. Formal negotiations were launched on 25 September 2019 and several negotiation rounds already took place. However, the outcome of the negotiations depends largely on progress being achieved on the internal e-evidence rules.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With regard to the </w:t>
      </w:r>
      <w:r>
        <w:rPr>
          <w:rFonts w:ascii="Times New Roman" w:hAnsi="Times New Roman" w:cs="Times New Roman"/>
          <w:b/>
          <w:bCs/>
          <w:noProof/>
          <w:sz w:val="24"/>
          <w:szCs w:val="24"/>
        </w:rPr>
        <w:t>retention and use of data for law enforcement purposes</w:t>
      </w:r>
      <w:r>
        <w:rPr>
          <w:rFonts w:ascii="Times New Roman" w:hAnsi="Times New Roman" w:cs="Times New Roman"/>
          <w:noProof/>
          <w:sz w:val="24"/>
          <w:szCs w:val="24"/>
        </w:rPr>
        <w:t xml:space="preserve">, the previous </w:t>
      </w:r>
      <w:r>
        <w:rPr>
          <w:rFonts w:ascii="Times New Roman" w:hAnsi="Times New Roman" w:cs="Times New Roman"/>
          <w:i/>
          <w:iCs/>
          <w:noProof/>
          <w:sz w:val="24"/>
          <w:szCs w:val="24"/>
        </w:rPr>
        <w:t>Tele2/Watson</w:t>
      </w:r>
      <w:r>
        <w:rPr>
          <w:rFonts w:ascii="Times New Roman" w:hAnsi="Times New Roman" w:cs="Times New Roman"/>
          <w:noProof/>
          <w:sz w:val="24"/>
          <w:szCs w:val="24"/>
        </w:rPr>
        <w:t xml:space="preserve"> judgment</w:t>
      </w:r>
      <w:r>
        <w:rPr>
          <w:rStyle w:val="FootnoteReference"/>
          <w:rFonts w:ascii="Times New Roman" w:hAnsi="Times New Roman" w:cs="Times New Roman"/>
          <w:noProof/>
          <w:sz w:val="24"/>
          <w:szCs w:val="24"/>
        </w:rPr>
        <w:footnoteReference w:id="56"/>
      </w:r>
      <w:r>
        <w:rPr>
          <w:rFonts w:ascii="Times New Roman" w:hAnsi="Times New Roman" w:cs="Times New Roman"/>
          <w:noProof/>
          <w:sz w:val="24"/>
          <w:szCs w:val="24"/>
        </w:rPr>
        <w:t xml:space="preserve"> from 2016 was followed up by the Commission through expert consultations with relevant service providers, police and judicial authorities, civil society, data protection authorities, academia and EU agencies. Reflections were also fed by a study on </w:t>
      </w:r>
      <w:r>
        <w:rPr>
          <w:rFonts w:ascii="Times New Roman" w:eastAsia="Times New Roman" w:hAnsi="Times New Roman" w:cs="Times New Roman"/>
          <w:noProof/>
          <w:sz w:val="24"/>
          <w:szCs w:val="24"/>
        </w:rPr>
        <w:t>the data retention practices of electronic communication service providers and the needs and practices of law enforcement authorities to access data, the identification of relevant technological challenges, and an overview of the national legal frameworks.</w:t>
      </w:r>
      <w:r>
        <w:rPr>
          <w:rStyle w:val="FootnoteReference"/>
          <w:rFonts w:ascii="Times New Roman" w:eastAsia="Times New Roman" w:hAnsi="Times New Roman" w:cs="Times New Roman"/>
          <w:noProof/>
          <w:sz w:val="24"/>
          <w:szCs w:val="24"/>
        </w:rPr>
        <w:footnoteReference w:id="57"/>
      </w:r>
      <w:r>
        <w:rPr>
          <w:rFonts w:ascii="Times New Roman" w:eastAsia="Times New Roman" w:hAnsi="Times New Roman" w:cs="Times New Roman"/>
          <w:noProof/>
          <w:sz w:val="24"/>
          <w:szCs w:val="24"/>
        </w:rPr>
        <w:t xml:space="preserve"> </w:t>
      </w:r>
      <w:r>
        <w:rPr>
          <w:rFonts w:ascii="Times New Roman" w:hAnsi="Times New Roman" w:cs="Times New Roman"/>
          <w:noProof/>
          <w:sz w:val="24"/>
          <w:szCs w:val="24"/>
        </w:rPr>
        <w:t xml:space="preserve">This work has highlighted the need for law enforcement authorities to access data to carry out their tasks more effectively.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On 6 October 2020 the Court of Justice delivered judgments</w:t>
      </w:r>
      <w:r>
        <w:rPr>
          <w:noProof/>
          <w:vertAlign w:val="superscript"/>
        </w:rPr>
        <w:footnoteReference w:id="58"/>
      </w:r>
      <w:r>
        <w:rPr>
          <w:rFonts w:ascii="Times New Roman" w:hAnsi="Times New Roman" w:cs="Times New Roman"/>
          <w:noProof/>
          <w:sz w:val="24"/>
          <w:szCs w:val="24"/>
        </w:rPr>
        <w:t xml:space="preserve"> concerning the national legislation of Belgium, France and the United Kingdom on the retention, transmission and access to non-content communication data for the purposes of law enforcement and national security. The Commission will assess available options to ensure that terrorists and other criminals can be identified and traced, while respecting EU law as interpreted by the Court of Justice, also having regard to other cases pending before the Court on this subject matter</w:t>
      </w:r>
      <w:r>
        <w:rPr>
          <w:rFonts w:ascii="Times New Roman" w:eastAsia="Times New Roman" w:hAnsi="Times New Roman" w:cs="Times New Roman"/>
          <w:noProof/>
          <w:sz w:val="24"/>
          <w:szCs w:val="24"/>
        </w:rPr>
        <w:t xml:space="preserve">. </w:t>
      </w:r>
    </w:p>
    <w:p w:rsidR="00872751" w:rsidRDefault="008477BD">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Another important element in fighting cybercrime has been the work to ensure the availability and accuracy of internet domain name registration data (‘</w:t>
      </w:r>
      <w:r>
        <w:rPr>
          <w:rFonts w:ascii="Times New Roman" w:hAnsi="Times New Roman" w:cs="Times New Roman"/>
          <w:b/>
          <w:bCs/>
          <w:noProof/>
          <w:sz w:val="24"/>
          <w:szCs w:val="24"/>
        </w:rPr>
        <w:t>WHOIS information’)</w:t>
      </w:r>
      <w:r>
        <w:rPr>
          <w:rFonts w:ascii="Times New Roman" w:hAnsi="Times New Roman" w:cs="Times New Roman"/>
          <w:noProof/>
          <w:sz w:val="24"/>
          <w:szCs w:val="24"/>
        </w:rPr>
        <w:t xml:space="preserve">, in line with the efforts of the Internet Corporation for Assigned Names and Numbers (ICANN). Discussions seek to ensure that legitimate access seekers, including law enforcement and cybersecurity operators, obtain efficient access to generic Top-Level Domain registration data, in full respect of applicable data protection rules. The final recommendations for a new WHOIS policy were published on 10 August 2020 and are currently under review, before a decision will be taken by the ICANN Board. The </w:t>
      </w:r>
      <w:r>
        <w:rPr>
          <w:rFonts w:ascii="Times New Roman" w:hAnsi="Times New Roman" w:cs="Times New Roman"/>
          <w:noProof/>
          <w:sz w:val="24"/>
          <w:szCs w:val="24"/>
        </w:rPr>
        <w:lastRenderedPageBreak/>
        <w:t xml:space="preserve">Commission will examine the conclusions of the review and consider the extent to which they sufficiently reflect data protection and the public interest considerations of providing effective access for law enforcement authorities and cybersecurity operators. </w:t>
      </w:r>
    </w:p>
    <w:p w:rsidR="00872751" w:rsidRDefault="00872751">
      <w:pPr>
        <w:spacing w:after="0" w:line="240" w:lineRule="auto"/>
        <w:jc w:val="both"/>
        <w:rPr>
          <w:rFonts w:ascii="Times New Roman" w:hAnsi="Times New Roman" w:cs="Times New Roman"/>
          <w:b/>
          <w:noProof/>
          <w:sz w:val="24"/>
          <w:szCs w:val="24"/>
        </w:rPr>
      </w:pPr>
    </w:p>
    <w:p w:rsidR="00872751" w:rsidRDefault="008477BD">
      <w:pPr>
        <w:pStyle w:val="ListParagraph"/>
        <w:numPr>
          <w:ilvl w:val="0"/>
          <w:numId w:val="27"/>
        </w:numPr>
        <w:spacing w:after="120" w:line="240" w:lineRule="auto"/>
        <w:jc w:val="both"/>
        <w:rPr>
          <w:rFonts w:ascii="Times New Roman" w:hAnsi="Times New Roman"/>
          <w:b/>
          <w:i/>
          <w:noProof/>
          <w:sz w:val="24"/>
        </w:rPr>
      </w:pPr>
      <w:r>
        <w:rPr>
          <w:rFonts w:ascii="Times New Roman" w:hAnsi="Times New Roman" w:cs="Times New Roman"/>
          <w:b/>
          <w:bCs/>
          <w:i/>
          <w:iCs/>
          <w:noProof/>
          <w:sz w:val="24"/>
          <w:szCs w:val="24"/>
        </w:rPr>
        <w:t xml:space="preserve">Modern law enforcement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As technology continues to reshape nearly every sector of society, including security, law enforcement and judiciary needs to be able to keep up. Integrating artificial intelligence, Big Data and High Performance Computing into security policy whilst not weakening the effective protection of fundamental rights is essential to increase safety and security. </w:t>
      </w:r>
    </w:p>
    <w:p w:rsidR="00872751" w:rsidRDefault="008477BD">
      <w:pPr>
        <w:spacing w:line="240" w:lineRule="auto"/>
        <w:jc w:val="both"/>
        <w:rPr>
          <w:rFonts w:ascii="Calibri" w:hAnsi="Calibri" w:cs="Calibri"/>
          <w:noProof/>
        </w:rPr>
      </w:pPr>
      <w:r>
        <w:rPr>
          <w:rFonts w:ascii="Times New Roman" w:hAnsi="Times New Roman" w:cs="Times New Roman"/>
          <w:noProof/>
          <w:sz w:val="24"/>
          <w:szCs w:val="24"/>
          <w:shd w:val="clear" w:color="auto" w:fill="FFFFFF"/>
        </w:rPr>
        <w:t>The Commission is working on a number of key workstrands</w:t>
      </w:r>
      <w:r>
        <w:rPr>
          <w:rStyle w:val="FootnoteReference"/>
          <w:rFonts w:ascii="Times New Roman" w:hAnsi="Times New Roman" w:cs="Times New Roman"/>
          <w:noProof/>
          <w:sz w:val="24"/>
          <w:szCs w:val="24"/>
          <w:shd w:val="clear" w:color="auto" w:fill="FFFFFF"/>
        </w:rPr>
        <w:footnoteReference w:id="59"/>
      </w:r>
      <w:r>
        <w:rPr>
          <w:rFonts w:ascii="Times New Roman" w:hAnsi="Times New Roman" w:cs="Times New Roman"/>
          <w:noProof/>
          <w:sz w:val="24"/>
          <w:szCs w:val="24"/>
          <w:shd w:val="clear" w:color="auto" w:fill="FFFFFF"/>
        </w:rPr>
        <w:t xml:space="preserve">. </w:t>
      </w:r>
      <w:r>
        <w:rPr>
          <w:rFonts w:ascii="Times New Roman" w:hAnsi="Times New Roman"/>
          <w:noProof/>
          <w:color w:val="000000" w:themeColor="text1"/>
          <w:sz w:val="24"/>
          <w:szCs w:val="24"/>
          <w:shd w:val="clear" w:color="auto" w:fill="FFFFFF"/>
        </w:rPr>
        <w:t>On 25 November 2020 the Commission proposed</w:t>
      </w:r>
      <w:r>
        <w:rPr>
          <w:rStyle w:val="FootnoteReference"/>
          <w:rFonts w:ascii="Times New Roman" w:hAnsi="Times New Roman"/>
          <w:noProof/>
          <w:color w:val="000000" w:themeColor="text1"/>
          <w:sz w:val="24"/>
          <w:szCs w:val="24"/>
          <w:shd w:val="clear" w:color="auto" w:fill="FFFFFF"/>
        </w:rPr>
        <w:footnoteReference w:id="60"/>
      </w:r>
      <w:r>
        <w:rPr>
          <w:rFonts w:ascii="Times New Roman" w:hAnsi="Times New Roman"/>
          <w:noProof/>
          <w:color w:val="000000" w:themeColor="text1"/>
          <w:sz w:val="24"/>
          <w:szCs w:val="24"/>
          <w:shd w:val="clear" w:color="auto" w:fill="FFFFFF"/>
        </w:rPr>
        <w:t xml:space="preserve"> the Data Governance Act, a</w:t>
      </w:r>
      <w:r>
        <w:rPr>
          <w:b/>
          <w:bCs/>
          <w:noProof/>
        </w:rPr>
        <w:t xml:space="preserve"> </w:t>
      </w:r>
      <w:r>
        <w:rPr>
          <w:rFonts w:ascii="Times New Roman" w:hAnsi="Times New Roman"/>
          <w:noProof/>
          <w:color w:val="000000" w:themeColor="text1"/>
          <w:sz w:val="24"/>
          <w:szCs w:val="24"/>
          <w:shd w:val="clear" w:color="auto" w:fill="FFFFFF"/>
        </w:rPr>
        <w:t>framework for facilitated sharing and re-use of personal and non-personal data for innovation and development purposes. This covers industry and public bodies via virtual or physical sectorial data spaces. It would allow access for national law enforcement authorities to data hosted in other data spaces for their own innovation purposes. At the same time, access to data held by national law enforcement and security authorities would not be allowed unless authorised by EU or national law. National law enforcement security authorities may also benefit if individual data subjects make their data available voluntarily for the common good, for the sole purpose of scientific research.</w:t>
      </w:r>
      <w:r>
        <w:rPr>
          <w:rFonts w:ascii="Calibri" w:hAnsi="Calibri" w:cs="Calibri"/>
          <w:noProof/>
        </w:rPr>
        <w:t xml:space="preserve"> </w:t>
      </w:r>
    </w:p>
    <w:p w:rsidR="00872751" w:rsidRDefault="008477BD">
      <w:pPr>
        <w:tabs>
          <w:tab w:val="left" w:pos="4820"/>
        </w:tabs>
        <w:spacing w:after="120" w:line="240" w:lineRule="auto"/>
        <w:jc w:val="both"/>
        <w:rPr>
          <w:rFonts w:ascii="Times New Roman" w:hAnsi="Times New Roman"/>
          <w:noProof/>
          <w:sz w:val="24"/>
          <w:szCs w:val="24"/>
        </w:rPr>
      </w:pPr>
      <w:r>
        <w:rPr>
          <w:rFonts w:ascii="Times New Roman" w:hAnsi="Times New Roman"/>
          <w:noProof/>
          <w:sz w:val="24"/>
          <w:szCs w:val="24"/>
        </w:rPr>
        <w:t xml:space="preserve">Work is also under way to prepare a new initiative on </w:t>
      </w:r>
      <w:r>
        <w:rPr>
          <w:rFonts w:ascii="Times New Roman" w:hAnsi="Times New Roman"/>
          <w:b/>
          <w:bCs/>
          <w:noProof/>
          <w:sz w:val="24"/>
          <w:szCs w:val="24"/>
        </w:rPr>
        <w:t xml:space="preserve">artificial intelligence (AI), </w:t>
      </w:r>
      <w:r>
        <w:rPr>
          <w:rFonts w:ascii="Times New Roman" w:hAnsi="Times New Roman"/>
          <w:noProof/>
          <w:sz w:val="24"/>
          <w:szCs w:val="24"/>
        </w:rPr>
        <w:t>following the publication of the White Paper on AI</w:t>
      </w:r>
      <w:r>
        <w:rPr>
          <w:rStyle w:val="FootnoteReference"/>
          <w:rFonts w:ascii="Times New Roman" w:hAnsi="Times New Roman"/>
          <w:noProof/>
          <w:sz w:val="24"/>
          <w:szCs w:val="24"/>
        </w:rPr>
        <w:footnoteReference w:id="61"/>
      </w:r>
      <w:r>
        <w:rPr>
          <w:rFonts w:ascii="Times New Roman" w:hAnsi="Times New Roman"/>
          <w:noProof/>
          <w:sz w:val="24"/>
          <w:szCs w:val="24"/>
        </w:rPr>
        <w:t>. While recognising the opportunities AI technology offers to boost security and the well-being of citizens and society as a whole, the White Paper also identified a number of risks – such as cyber threats, personal security risks, or loss of connectivity. In the public consultation, participants’ main concerns related to the possibility of AI breaching fundamental rights and the risk that AI may lead to discriminatory outcomes</w:t>
      </w:r>
      <w:r>
        <w:rPr>
          <w:rStyle w:val="FootnoteReference"/>
          <w:rFonts w:ascii="Times New Roman" w:hAnsi="Times New Roman"/>
          <w:noProof/>
          <w:sz w:val="24"/>
          <w:szCs w:val="24"/>
        </w:rPr>
        <w:footnoteReference w:id="62"/>
      </w:r>
      <w:r>
        <w:rPr>
          <w:rFonts w:ascii="Times New Roman" w:hAnsi="Times New Roman"/>
          <w:noProof/>
          <w:sz w:val="24"/>
          <w:szCs w:val="24"/>
        </w:rPr>
        <w:t>. In the Communication on Building Trust in Human Centric AI</w:t>
      </w:r>
      <w:r>
        <w:rPr>
          <w:rStyle w:val="FootnoteReference"/>
          <w:rFonts w:ascii="Times New Roman" w:hAnsi="Times New Roman"/>
          <w:noProof/>
          <w:sz w:val="24"/>
          <w:szCs w:val="24"/>
        </w:rPr>
        <w:footnoteReference w:id="63"/>
      </w:r>
      <w:r>
        <w:rPr>
          <w:rFonts w:ascii="Times New Roman" w:hAnsi="Times New Roman"/>
          <w:noProof/>
          <w:sz w:val="24"/>
          <w:szCs w:val="24"/>
        </w:rPr>
        <w:t xml:space="preserve">, the Commission emphasised the need to make AI systems resilient against both overt attacks and more subtle attempts to manipulate data or algorithms, and to take steps to mitigate this risk.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Encryption</w:t>
      </w:r>
      <w:r>
        <w:rPr>
          <w:rFonts w:ascii="Times New Roman" w:hAnsi="Times New Roman" w:cs="Times New Roman"/>
          <w:noProof/>
          <w:sz w:val="24"/>
          <w:szCs w:val="24"/>
        </w:rPr>
        <w:t xml:space="preserve"> plays a fundamental role in ensuring strong cybersecurity and the effective protection of fundamental rights, such as privacy, including the confidentiality of communications, and protection of personal data and in ensuring trust in services and products based on encryption technologies, such as digital identity solutions. At the same time, it can also be used to conceal crime from law enforcement and judiciary, making it difficult to investigate, detect and prosecute. Member States in the Council have called for solutions that allow law enforcement and judicial authorities to gain lawful access to digital evidence, in full respect of privacy, data protection and fair trial guarantees</w:t>
      </w:r>
      <w:r>
        <w:rPr>
          <w:rStyle w:val="FootnoteReference"/>
          <w:rFonts w:ascii="Times New Roman" w:hAnsi="Times New Roman" w:cs="Times New Roman"/>
          <w:noProof/>
          <w:sz w:val="24"/>
          <w:szCs w:val="24"/>
        </w:rPr>
        <w:footnoteReference w:id="64"/>
      </w:r>
      <w:r>
        <w:rPr>
          <w:rFonts w:ascii="Times New Roman" w:hAnsi="Times New Roman" w:cs="Times New Roman"/>
          <w:noProof/>
          <w:sz w:val="24"/>
          <w:szCs w:val="24"/>
        </w:rPr>
        <w:t xml:space="preserve">. The Commission will work with Member States to identify legal, operational, and technical solutions for lawful access to electronic information in encrypted environments which maintain the security of communications.  </w:t>
      </w:r>
    </w:p>
    <w:p w:rsidR="00872751" w:rsidRDefault="008477BD">
      <w:pPr>
        <w:spacing w:after="120" w:line="240" w:lineRule="auto"/>
        <w:jc w:val="both"/>
        <w:rPr>
          <w:rFonts w:ascii="Times New Roman" w:hAnsi="Times New Roman"/>
          <w:noProof/>
          <w:sz w:val="24"/>
        </w:rPr>
      </w:pPr>
      <w:r>
        <w:rPr>
          <w:rFonts w:ascii="Times New Roman" w:hAnsi="Times New Roman" w:cs="Times New Roman"/>
          <w:noProof/>
          <w:sz w:val="24"/>
          <w:szCs w:val="24"/>
        </w:rPr>
        <w:lastRenderedPageBreak/>
        <w:t xml:space="preserve">Practical steps under way include a </w:t>
      </w:r>
      <w:r>
        <w:rPr>
          <w:rFonts w:ascii="Times New Roman" w:hAnsi="Times New Roman" w:cs="Times New Roman"/>
          <w:b/>
          <w:noProof/>
          <w:sz w:val="24"/>
          <w:szCs w:val="24"/>
        </w:rPr>
        <w:t>decryption platform</w:t>
      </w:r>
      <w:r>
        <w:rPr>
          <w:rFonts w:ascii="Times New Roman" w:hAnsi="Times New Roman" w:cs="Times New Roman"/>
          <w:noProof/>
          <w:sz w:val="24"/>
          <w:szCs w:val="24"/>
        </w:rPr>
        <w:t xml:space="preserve"> in Europol to help law enforcement to gain lawful access to encrypted information on devices seized during the course of criminal investigations</w:t>
      </w:r>
      <w:r>
        <w:rPr>
          <w:rStyle w:val="FootnoteReference"/>
          <w:rFonts w:ascii="Times New Roman" w:hAnsi="Times New Roman" w:cs="Times New Roman"/>
          <w:noProof/>
          <w:sz w:val="24"/>
          <w:szCs w:val="24"/>
        </w:rPr>
        <w:footnoteReference w:id="65"/>
      </w:r>
      <w:r>
        <w:rPr>
          <w:rFonts w:ascii="Times New Roman" w:hAnsi="Times New Roman" w:cs="Times New Roman"/>
          <w:noProof/>
          <w:sz w:val="24"/>
          <w:szCs w:val="24"/>
        </w:rPr>
        <w:t xml:space="preserve">. The European Cybercrime Training and Education Group </w:t>
      </w:r>
      <w:r>
        <w:rPr>
          <w:rFonts w:ascii="Times New Roman" w:hAnsi="Times New Roman" w:cs="Times New Roman"/>
          <w:noProof/>
          <w:sz w:val="24"/>
          <w:szCs w:val="24"/>
          <w:lang w:val="en-GB"/>
        </w:rPr>
        <w:t xml:space="preserve">has developed pilot training modules which will feed into the work of </w:t>
      </w:r>
      <w:r>
        <w:rPr>
          <w:rFonts w:ascii="Times New Roman" w:hAnsi="Times New Roman"/>
          <w:noProof/>
          <w:sz w:val="24"/>
          <w:szCs w:val="24"/>
          <w:lang w:val="en-GB"/>
        </w:rPr>
        <w:t>the Agency for Law enforcement Training (CEPOL)</w:t>
      </w:r>
      <w:r>
        <w:rPr>
          <w:rFonts w:ascii="Times New Roman" w:hAnsi="Times New Roman" w:cs="Times New Roman"/>
          <w:noProof/>
          <w:sz w:val="24"/>
          <w:szCs w:val="24"/>
          <w:lang w:val="en-GB"/>
        </w:rPr>
        <w:t>.</w:t>
      </w:r>
      <w:r>
        <w:rPr>
          <w:rFonts w:ascii="Times New Roman" w:hAnsi="Times New Roman" w:cs="Times New Roman"/>
          <w:noProof/>
          <w:sz w:val="24"/>
          <w:szCs w:val="24"/>
        </w:rPr>
        <w:t xml:space="preserve"> A network </w:t>
      </w:r>
      <w:r>
        <w:rPr>
          <w:rFonts w:ascii="Times New Roman" w:hAnsi="Times New Roman" w:cs="Times New Roman"/>
          <w:noProof/>
          <w:sz w:val="24"/>
          <w:szCs w:val="24"/>
          <w:lang w:val="en-GB"/>
        </w:rPr>
        <w:t>of Member States’ points of encryption expertise</w:t>
      </w:r>
      <w:r>
        <w:rPr>
          <w:rFonts w:ascii="Times New Roman" w:hAnsi="Times New Roman"/>
          <w:noProof/>
          <w:sz w:val="24"/>
          <w:szCs w:val="24"/>
          <w:lang w:val="en-GB"/>
        </w:rPr>
        <w:t xml:space="preserve"> </w:t>
      </w:r>
      <w:r>
        <w:rPr>
          <w:rFonts w:ascii="Times New Roman" w:hAnsi="Times New Roman" w:cs="Times New Roman"/>
          <w:noProof/>
          <w:sz w:val="24"/>
          <w:szCs w:val="24"/>
        </w:rPr>
        <w:t>has been set up to share best practices and expertise, and to support the development of a toolbox of technical and practical instruments.</w:t>
      </w:r>
    </w:p>
    <w:p w:rsidR="00872751" w:rsidRDefault="008477BD">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bCs/>
          <w:noProof/>
          <w:sz w:val="24"/>
          <w:szCs w:val="24"/>
        </w:rPr>
        <w:t>e-Evidence Digital Exchange System (eEDES)</w:t>
      </w:r>
      <w:r>
        <w:rPr>
          <w:rFonts w:ascii="Times New Roman" w:hAnsi="Times New Roman" w:cs="Times New Roman"/>
          <w:noProof/>
          <w:sz w:val="24"/>
          <w:szCs w:val="24"/>
        </w:rPr>
        <w:t xml:space="preserve"> will offer a tool for secure, swift and efficient cross-border exchange of European Investigation Orders, mutual assistance requests and evidence in digital format. It should be gradually enriched and extended to other judicial cooperation instruments in criminal matters and itsfuture scope will be laid down in a legislative proposal on the digitalisation of judicial cooperation procedures planned for 2021</w:t>
      </w:r>
      <w:r>
        <w:rPr>
          <w:rStyle w:val="FootnoteReference"/>
          <w:rFonts w:ascii="Times New Roman" w:hAnsi="Times New Roman" w:cs="Times New Roman"/>
          <w:noProof/>
          <w:sz w:val="24"/>
          <w:szCs w:val="24"/>
        </w:rPr>
        <w:footnoteReference w:id="66"/>
      </w:r>
      <w:r>
        <w:rPr>
          <w:rFonts w:ascii="Times New Roman" w:hAnsi="Times New Roman" w:cs="Times New Roman"/>
          <w:noProof/>
          <w:sz w:val="24"/>
          <w:szCs w:val="24"/>
        </w:rPr>
        <w:t>.</w:t>
      </w:r>
    </w:p>
    <w:p w:rsidR="00872751" w:rsidRDefault="008477BD">
      <w:pPr>
        <w:pStyle w:val="ListParagraph"/>
        <w:numPr>
          <w:ilvl w:val="0"/>
          <w:numId w:val="27"/>
        </w:numPr>
        <w:spacing w:before="240" w:after="120" w:line="240" w:lineRule="auto"/>
        <w:ind w:left="714" w:hanging="357"/>
        <w:contextualSpacing w:val="0"/>
        <w:jc w:val="both"/>
        <w:rPr>
          <w:rFonts w:ascii="Times New Roman" w:hAnsi="Times New Roman"/>
          <w:b/>
          <w:i/>
          <w:noProof/>
          <w:sz w:val="24"/>
        </w:rPr>
      </w:pPr>
      <w:r>
        <w:rPr>
          <w:rFonts w:ascii="Times New Roman" w:hAnsi="Times New Roman" w:cs="Times New Roman"/>
          <w:b/>
          <w:bCs/>
          <w:i/>
          <w:iCs/>
          <w:noProof/>
          <w:sz w:val="24"/>
          <w:szCs w:val="24"/>
        </w:rPr>
        <w:t xml:space="preserve">Countering illegal content online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Radicalisation leading to violent extremism and terrorism is a multidimensional and cross-border phenomenon that has been able to exploit the rapid growth of the internet. The internet continues to be used to radicalise and recruit the vulnerable. In July, Europol’s Internet Referral Unit took down 2,000 links to terrorist content – including manuals and tutorials on how to carry out an attack. The evidence of the role of the internet in radicalising and advertising the crimes of those involved in attacks in France and in Austria further highlight the need for a clear legislative framework to prevent the dissemination of terrorist content online, while maintaining effective safeguards for the protection of fundamental rights. The negotiations between the European Parliament and the Council on the proposed </w:t>
      </w:r>
      <w:r>
        <w:rPr>
          <w:rFonts w:ascii="Times New Roman" w:hAnsi="Times New Roman" w:cs="Times New Roman"/>
          <w:b/>
          <w:bCs/>
          <w:noProof/>
          <w:sz w:val="24"/>
          <w:szCs w:val="24"/>
        </w:rPr>
        <w:t>Terrorist Content Online Regulation</w:t>
      </w:r>
      <w:r>
        <w:rPr>
          <w:rStyle w:val="FootnoteReference"/>
          <w:rFonts w:ascii="Times New Roman" w:hAnsi="Times New Roman" w:cs="Times New Roman"/>
          <w:noProof/>
          <w:sz w:val="24"/>
          <w:szCs w:val="24"/>
        </w:rPr>
        <w:footnoteReference w:id="67"/>
      </w:r>
      <w:r>
        <w:rPr>
          <w:rFonts w:ascii="Times New Roman" w:hAnsi="Times New Roman" w:cs="Times New Roman"/>
          <w:noProof/>
          <w:sz w:val="24"/>
          <w:szCs w:val="24"/>
        </w:rPr>
        <w:t xml:space="preserve"> have intensified in the recent weeks. Concluding these negotiations with the establishment of, in particular, the new and effective operational instrument of removal orders for the cross-border elimination of terrorist content within an hour or less from the reception of those orders is critical to addressing terrorist content, including content contributing to radicalisation.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the meantime, the </w:t>
      </w:r>
      <w:r>
        <w:rPr>
          <w:rFonts w:ascii="Times New Roman" w:hAnsi="Times New Roman" w:cs="Times New Roman"/>
          <w:b/>
          <w:bCs/>
          <w:noProof/>
          <w:sz w:val="24"/>
          <w:szCs w:val="24"/>
        </w:rPr>
        <w:t>EU Internet Forum</w:t>
      </w:r>
      <w:r>
        <w:rPr>
          <w:rFonts w:ascii="Times New Roman" w:hAnsi="Times New Roman" w:cs="Times New Roman"/>
          <w:noProof/>
          <w:sz w:val="24"/>
          <w:szCs w:val="24"/>
        </w:rPr>
        <w:t xml:space="preserve"> continues to act as a catalyst for action, providing an essential platform bringing together Member States and industry to prevent the spread of terrorist content online and counter radicalising messages. The Forum is working on developing a reference list of prohibited symbols and groups in Member States, that could inform the platform’s content moderation policies.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 Internet Forum has expanded its scope of activities to also cover </w:t>
      </w:r>
      <w:r>
        <w:rPr>
          <w:rFonts w:ascii="Times New Roman" w:hAnsi="Times New Roman" w:cs="Times New Roman"/>
          <w:b/>
          <w:bCs/>
          <w:noProof/>
          <w:sz w:val="24"/>
          <w:szCs w:val="24"/>
        </w:rPr>
        <w:t>child sexual abuse online</w:t>
      </w:r>
      <w:r>
        <w:rPr>
          <w:rFonts w:ascii="Times New Roman" w:hAnsi="Times New Roman" w:cs="Times New Roman"/>
          <w:noProof/>
          <w:sz w:val="24"/>
          <w:szCs w:val="24"/>
        </w:rPr>
        <w:t xml:space="preserve">. The Forum will provide a common space to share best practices and identify obstacles faced by both private and public actors, to increase mutual understanding and find solutions together. It also enables high-level political coordination to maximise the efficiency and effectiveness of action. A technical expert process was created under the EU Internet Forum composed of academia, industry, public authorities and civil society organisations to map and preliminarily assess possible technical solutions to detect and report child sexual abuse in end-to-end encrypted electronic communications. Such technical solutions should not weaken encryption. This approach complements other elements of the fight against child sexual abuse, both online and offline, as described above.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The Commission has also continued to share EU expertise and experience as part of the Independent Advisory Committee of the newly established </w:t>
      </w:r>
      <w:r>
        <w:rPr>
          <w:rFonts w:ascii="Times New Roman" w:hAnsi="Times New Roman" w:cs="Times New Roman"/>
          <w:b/>
          <w:bCs/>
          <w:noProof/>
          <w:sz w:val="24"/>
          <w:szCs w:val="24"/>
        </w:rPr>
        <w:t xml:space="preserve">Global Internet Forum to Counter Terrorism </w:t>
      </w:r>
      <w:r>
        <w:rPr>
          <w:rFonts w:ascii="Times New Roman" w:hAnsi="Times New Roman" w:cs="Times New Roman"/>
          <w:noProof/>
          <w:sz w:val="24"/>
          <w:szCs w:val="24"/>
        </w:rPr>
        <w:t xml:space="preserve">and as Co-lead, together with Microsoft, of the Crisis Response Working Group. Together with Europol, the Commission continued to support Member States in the implementation of the </w:t>
      </w:r>
      <w:r>
        <w:rPr>
          <w:rFonts w:ascii="Times New Roman" w:hAnsi="Times New Roman" w:cs="Times New Roman"/>
          <w:b/>
          <w:bCs/>
          <w:noProof/>
          <w:sz w:val="24"/>
          <w:szCs w:val="24"/>
        </w:rPr>
        <w:t>EU Crisis Protocol.</w:t>
      </w:r>
      <w:r>
        <w:rPr>
          <w:rFonts w:ascii="Times New Roman" w:hAnsi="Times New Roman" w:cs="Times New Roman"/>
          <w:noProof/>
          <w:sz w:val="24"/>
          <w:szCs w:val="24"/>
        </w:rPr>
        <w:t xml:space="preserve"> The EU Internet Referral Unit hosted a second tabletop exercise on 23 November 2020, to prepare guidelines to improve operational responses and real-time coordination between Member States and Online Service Providers.</w:t>
      </w:r>
      <w:r>
        <w:rPr>
          <w:rFonts w:ascii="Verdana" w:hAnsi="Verdana"/>
          <w:noProof/>
          <w:sz w:val="20"/>
          <w:szCs w:val="20"/>
        </w:rPr>
        <w:t xml:space="preserve"> </w:t>
      </w:r>
    </w:p>
    <w:p w:rsidR="00872751" w:rsidRDefault="008477BD">
      <w:pPr>
        <w:pStyle w:val="ListParagraph"/>
        <w:spacing w:after="240"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 xml:space="preserve">In June 2020, the Commission published the results of the latest monitoring exercise on the implementation of the </w:t>
      </w:r>
      <w:r>
        <w:rPr>
          <w:rFonts w:ascii="Times New Roman" w:hAnsi="Times New Roman" w:cs="Times New Roman"/>
          <w:b/>
          <w:bCs/>
          <w:noProof/>
          <w:sz w:val="24"/>
          <w:szCs w:val="24"/>
        </w:rPr>
        <w:t>Code of conduct on countering illegal hate speech online</w:t>
      </w:r>
      <w:r>
        <w:rPr>
          <w:rStyle w:val="FootnoteReference"/>
          <w:rFonts w:ascii="Times New Roman" w:hAnsi="Times New Roman" w:cs="Times New Roman"/>
          <w:noProof/>
          <w:sz w:val="24"/>
          <w:szCs w:val="24"/>
        </w:rPr>
        <w:footnoteReference w:id="68"/>
      </w:r>
      <w:r>
        <w:rPr>
          <w:rFonts w:ascii="Times New Roman" w:hAnsi="Times New Roman" w:cs="Times New Roman"/>
          <w:noProof/>
          <w:sz w:val="24"/>
          <w:szCs w:val="24"/>
        </w:rPr>
        <w:t>. This showed that on average, IT companies assess 90% of flagged content within 24 hours and remove 71% of the content deemed to be illegal hate speech. However, it also identified shortcomings in transparency and feedback to users.</w:t>
      </w:r>
      <w:r>
        <w:rPr>
          <w:noProof/>
        </w:rPr>
        <w:t xml:space="preserve"> </w:t>
      </w:r>
      <w:r>
        <w:rPr>
          <w:rFonts w:ascii="Times New Roman" w:hAnsi="Times New Roman" w:cs="Times New Roman"/>
          <w:noProof/>
          <w:sz w:val="24"/>
          <w:szCs w:val="24"/>
        </w:rPr>
        <w:t>The implementation of the Code of Conduct over the past four years was also fed into reflections on how to address illegal content online while protecting freedom of expression in the forthcoming proposal for a Digital Services Act. In the 2020 State of the Union Address, President von der Leyen also announced that by the end of 2021, the Commission will propose to extend the list of EU-level crimes under Article 83(1) TFEU to hate crime and hate speech</w:t>
      </w:r>
      <w:r>
        <w:rPr>
          <w:rStyle w:val="FootnoteReference"/>
          <w:rFonts w:ascii="Times New Roman" w:hAnsi="Times New Roman" w:cs="Times New Roman"/>
          <w:noProof/>
          <w:sz w:val="24"/>
          <w:szCs w:val="24"/>
        </w:rPr>
        <w:footnoteReference w:id="69"/>
      </w:r>
      <w:r>
        <w:rPr>
          <w:rFonts w:ascii="Times New Roman" w:hAnsi="Times New Roman" w:cs="Times New Roman"/>
          <w:noProof/>
          <w:sz w:val="24"/>
          <w:szCs w:val="24"/>
        </w:rPr>
        <w:t>.</w:t>
      </w:r>
    </w:p>
    <w:p w:rsidR="00872751" w:rsidRDefault="00872751">
      <w:pPr>
        <w:pStyle w:val="ListParagraph"/>
        <w:spacing w:after="240" w:line="240" w:lineRule="auto"/>
        <w:ind w:left="0"/>
        <w:jc w:val="both"/>
        <w:rPr>
          <w:rFonts w:ascii="Times New Roman" w:hAnsi="Times New Roman" w:cs="Times New Roman"/>
          <w:noProof/>
          <w:sz w:val="24"/>
          <w:szCs w:val="24"/>
        </w:rPr>
      </w:pPr>
    </w:p>
    <w:p w:rsidR="00872751" w:rsidRDefault="008477BD">
      <w:pPr>
        <w:pStyle w:val="ListParagraph"/>
        <w:numPr>
          <w:ilvl w:val="0"/>
          <w:numId w:val="27"/>
        </w:numPr>
        <w:spacing w:after="120" w:line="240" w:lineRule="auto"/>
        <w:jc w:val="both"/>
        <w:rPr>
          <w:rFonts w:ascii="Times New Roman" w:hAnsi="Times New Roman" w:cs="Times New Roman"/>
          <w:noProof/>
          <w:sz w:val="24"/>
          <w:szCs w:val="24"/>
        </w:rPr>
      </w:pPr>
      <w:r>
        <w:rPr>
          <w:rFonts w:ascii="Times New Roman" w:hAnsi="Times New Roman" w:cs="Times New Roman"/>
          <w:b/>
          <w:bCs/>
          <w:i/>
          <w:iCs/>
          <w:noProof/>
          <w:sz w:val="24"/>
          <w:szCs w:val="24"/>
        </w:rPr>
        <w:t>Hybrid threats</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recognition of the evolving nature of hybrid threats, the Council established in July 2019 a </w:t>
      </w:r>
      <w:r>
        <w:rPr>
          <w:rFonts w:ascii="Times New Roman" w:hAnsi="Times New Roman" w:cs="Times New Roman"/>
          <w:b/>
          <w:bCs/>
          <w:noProof/>
          <w:sz w:val="24"/>
          <w:szCs w:val="24"/>
        </w:rPr>
        <w:t>Horizontal Working Party on Enhancing Resilience and Countering Hybrid Threats</w:t>
      </w:r>
      <w:r>
        <w:rPr>
          <w:rFonts w:ascii="Times New Roman" w:hAnsi="Times New Roman" w:cs="Times New Roman"/>
          <w:noProof/>
          <w:sz w:val="24"/>
          <w:szCs w:val="24"/>
        </w:rPr>
        <w:t>. Its main objective is to support strategic and horizontal coordination among Member States in the field of State and societal resilience, improving strategic communication and countering disinformation. Work has included follow-up to the hybrid risk surveys</w:t>
      </w:r>
      <w:r>
        <w:rPr>
          <w:rStyle w:val="FootnoteReference"/>
          <w:rFonts w:ascii="Times New Roman" w:hAnsi="Times New Roman" w:cs="Times New Roman"/>
          <w:noProof/>
          <w:sz w:val="24"/>
          <w:szCs w:val="24"/>
        </w:rPr>
        <w:footnoteReference w:id="70"/>
      </w:r>
      <w:r>
        <w:rPr>
          <w:rFonts w:ascii="Times New Roman" w:hAnsi="Times New Roman" w:cs="Times New Roman"/>
          <w:noProof/>
          <w:sz w:val="24"/>
          <w:szCs w:val="24"/>
        </w:rPr>
        <w:t xml:space="preserve">, as well as looking specifically at hybrid threats and disinformation in neighbourhood partner countries. The activities of the Horizontal Working Party have been presented in an Annual Report adopted on 14 September 2020. </w:t>
      </w:r>
    </w:p>
    <w:p w:rsidR="00872751" w:rsidRDefault="008477BD">
      <w:pPr>
        <w:pStyle w:val="HeaderCoverPage"/>
        <w:rPr>
          <w:noProof/>
        </w:rPr>
      </w:pPr>
      <w:r>
        <w:rPr>
          <w:noProof/>
        </w:rPr>
        <w:t>In December 2019, the Council adopted ‘Conclusions on Complementary Efforts to Enhance Resilience and Counter Hybrid Threats’</w:t>
      </w:r>
      <w:r>
        <w:rPr>
          <w:rStyle w:val="FootnoteReference"/>
          <w:noProof/>
        </w:rPr>
        <w:footnoteReference w:id="71"/>
      </w:r>
      <w:r>
        <w:rPr>
          <w:noProof/>
        </w:rPr>
        <w:t xml:space="preserve">, calling for a comprehensive approach to security and to counter hybrid threats, working across all relevant policy sectors in a more strategic, coordinated and coherent way. Two key follow-up steps took place in July 2020. First the Commission services and the EEAS prepared a </w:t>
      </w:r>
      <w:r>
        <w:rPr>
          <w:b/>
          <w:bCs/>
          <w:noProof/>
        </w:rPr>
        <w:t>mapping of measures and documents relating to EU response to hybrid threats</w:t>
      </w:r>
      <w:r>
        <w:rPr>
          <w:rStyle w:val="FootnoteReference"/>
          <w:noProof/>
        </w:rPr>
        <w:footnoteReference w:id="72"/>
      </w:r>
      <w:r>
        <w:rPr>
          <w:noProof/>
        </w:rPr>
        <w:t xml:space="preserve">. The mapping provides an overall inventory of countering hybrid threats-related measures at EU level and corresponding policy documents. It serves as a starting point to create a restricted online platform as one-stop-shop of all hybrid threats-related measures, policy and legislative documents, as well as relevant studies. Second, the latest annual </w:t>
      </w:r>
      <w:r>
        <w:rPr>
          <w:b/>
          <w:bCs/>
          <w:noProof/>
        </w:rPr>
        <w:t xml:space="preserve">report on </w:t>
      </w:r>
      <w:r>
        <w:rPr>
          <w:noProof/>
          <w:lang w:val="en-GB" w:eastAsia="en-GB"/>
        </w:rPr>
        <w:drawing>
          <wp:anchor distT="0" distB="0" distL="114300" distR="114300" simplePos="0" relativeHeight="251658240" behindDoc="0" locked="0" layoutInCell="1" allowOverlap="1">
            <wp:simplePos x="0" y="0"/>
            <wp:positionH relativeFrom="margin">
              <wp:posOffset>6375400</wp:posOffset>
            </wp:positionH>
            <wp:positionV relativeFrom="margin">
              <wp:posOffset>-619760</wp:posOffset>
            </wp:positionV>
            <wp:extent cx="45085" cy="49530"/>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e4.PNG"/>
                    <pic:cNvPicPr/>
                  </pic:nvPicPr>
                  <pic:blipFill>
                    <a:blip r:embed="rId19" cstate="print">
                      <a:extLst>
                        <a:ext uri="{28A0092B-C50C-407E-A947-70E740481C1C}">
                          <a14:useLocalDpi xmlns:a14="http://schemas.microsoft.com/office/drawing/2010/main" val="0"/>
                        </a:ext>
                      </a:extLst>
                    </a:blip>
                    <a:stretch>
                      <a:fillRect/>
                    </a:stretch>
                  </pic:blipFill>
                  <pic:spPr>
                    <a:xfrm flipH="1" flipV="1">
                      <a:off x="0" y="0"/>
                      <a:ext cx="45085" cy="49530"/>
                    </a:xfrm>
                    <a:prstGeom prst="rect">
                      <a:avLst/>
                    </a:prstGeom>
                  </pic:spPr>
                </pic:pic>
              </a:graphicData>
            </a:graphic>
            <wp14:sizeRelH relativeFrom="margin">
              <wp14:pctWidth>0</wp14:pctWidth>
            </wp14:sizeRelH>
            <wp14:sizeRelV relativeFrom="margin">
              <wp14:pctHeight>0</wp14:pctHeight>
            </wp14:sizeRelV>
          </wp:anchor>
        </w:drawing>
      </w:r>
      <w:r>
        <w:rPr>
          <w:b/>
          <w:bCs/>
          <w:noProof/>
        </w:rPr>
        <w:t>countering hybrid threats</w:t>
      </w:r>
      <w:r>
        <w:rPr>
          <w:rStyle w:val="FootnoteReference"/>
          <w:noProof/>
        </w:rPr>
        <w:footnoteReference w:id="73"/>
      </w:r>
      <w:r>
        <w:rPr>
          <w:noProof/>
        </w:rPr>
        <w:t xml:space="preserve"> looked at the implementation covering situational awareness, building resilience, preparedness and </w:t>
      </w:r>
      <w:r>
        <w:rPr>
          <w:noProof/>
        </w:rPr>
        <w:lastRenderedPageBreak/>
        <w:t>crisis response, as well as international and in particular EU-NATO cooperation in countering hybrid threats. While the report notes some progress in terms of EU level coordination, the unprecedented scale and diversity of hybrid threats today needs further steps at EU approach level to integrate the external and internal dimension in a seamless flow and support Member States efforts to counter hybrid threats and strengthen their resilience.</w:t>
      </w:r>
    </w:p>
    <w:p w:rsidR="00872751" w:rsidRDefault="008477BD">
      <w:pPr>
        <w:pStyle w:val="HeaderCoverPage"/>
        <w:rPr>
          <w:noProof/>
          <w:szCs w:val="24"/>
        </w:rPr>
      </w:pPr>
      <w:r>
        <w:rPr>
          <w:noProof/>
        </w:rPr>
        <w:t>In parallel, work is under way on the implementation of the measures laid down in the new Security Strategy to mainstream hybrid considerations into policy making, develop a restricted online platform, establish sectorial EU resilience baselines, as well as streamline information flows to further enhance situational awareness</w:t>
      </w:r>
      <w:r>
        <w:rPr>
          <w:rStyle w:val="FootnoteReference"/>
          <w:noProof/>
        </w:rPr>
        <w:footnoteReference w:id="74"/>
      </w:r>
      <w:r>
        <w:rPr>
          <w:noProof/>
        </w:rPr>
        <w:t xml:space="preserve"> This builds</w:t>
      </w:r>
      <w:r>
        <w:rPr>
          <w:noProof/>
          <w:szCs w:val="24"/>
        </w:rPr>
        <w:t xml:space="preserve"> on the </w:t>
      </w:r>
      <w:r>
        <w:rPr>
          <w:b/>
          <w:bCs/>
          <w:noProof/>
          <w:szCs w:val="24"/>
        </w:rPr>
        <w:t>EU Hybrid Fusion Cell</w:t>
      </w:r>
      <w:r>
        <w:rPr>
          <w:noProof/>
          <w:szCs w:val="24"/>
        </w:rPr>
        <w:t xml:space="preserve"> (HFC) established within the EU Intelligence and Situation Centre (EU INTCEN), which remains the main EU focal point for hybrid threat assessments. It has now produced more than 180 written reports on hybrid and cyber threats. One of the HFC projects is the </w:t>
      </w:r>
      <w:r>
        <w:rPr>
          <w:b/>
          <w:bCs/>
          <w:noProof/>
          <w:szCs w:val="24"/>
        </w:rPr>
        <w:t>Hybrid Trends Analysis</w:t>
      </w:r>
      <w:r>
        <w:rPr>
          <w:rStyle w:val="FootnoteReference"/>
          <w:noProof/>
          <w:szCs w:val="24"/>
        </w:rPr>
        <w:footnoteReference w:id="75"/>
      </w:r>
      <w:r>
        <w:rPr>
          <w:noProof/>
          <w:szCs w:val="24"/>
        </w:rPr>
        <w:t xml:space="preserve"> which provides data on topics such as: recurrent analysis of emerging actors' hybrid activities; foreign intelligence activities against the EU Member States, institutions, partners and interests; and hybrid state and non-state actors exploitation of the COVID-19 pandemic.</w:t>
      </w:r>
    </w:p>
    <w:p w:rsidR="00872751" w:rsidRDefault="008477BD">
      <w:pPr>
        <w:spacing w:after="120" w:line="240" w:lineRule="auto"/>
        <w:jc w:val="both"/>
        <w:rPr>
          <w:rFonts w:ascii="Times New Roman" w:eastAsia="Times New Roman" w:hAnsi="Times New Roman" w:cs="Times New Roman"/>
          <w:noProof/>
          <w:sz w:val="24"/>
          <w:szCs w:val="24"/>
        </w:rPr>
      </w:pPr>
      <w:r>
        <w:rPr>
          <w:rFonts w:ascii="Times New Roman" w:hAnsi="Times New Roman"/>
          <w:b/>
          <w:bCs/>
          <w:noProof/>
          <w:sz w:val="24"/>
          <w:szCs w:val="24"/>
        </w:rPr>
        <w:t>EU-NATO cooperation</w:t>
      </w:r>
      <w:r>
        <w:rPr>
          <w:rFonts w:ascii="Times New Roman" w:hAnsi="Times New Roman"/>
          <w:noProof/>
          <w:sz w:val="24"/>
          <w:szCs w:val="24"/>
        </w:rPr>
        <w:t xml:space="preserve"> (under the comprehensive framework provided by the Warsaw and Brussels Joint Declarations of 2016 and 2018) has further intensified, as highlighted in the fifth Progress Report of June 2020, with staff-to-staff interaction and concrete deliverables in the areas of hybrid threats, cyber defence and capacity-building</w:t>
      </w:r>
      <w:r>
        <w:rPr>
          <w:rStyle w:val="FootnoteReference"/>
          <w:rFonts w:ascii="Times New Roman" w:hAnsi="Times New Roman"/>
          <w:noProof/>
          <w:sz w:val="24"/>
          <w:szCs w:val="24"/>
        </w:rPr>
        <w:footnoteReference w:id="76"/>
      </w:r>
      <w:r>
        <w:rPr>
          <w:rFonts w:ascii="Times New Roman" w:hAnsi="Times New Roman"/>
          <w:noProof/>
          <w:sz w:val="24"/>
          <w:szCs w:val="24"/>
        </w:rPr>
        <w:t>. It is crucial to develop a single methodology across sectors for the work on hybrid resilience baselines, to address the risk of fragmented and duplicating policies, tools and actions. The European Centre of Excellence for Countering Hybrid Threats in Helsinki was also involved in this cooperation.</w:t>
      </w:r>
      <w:r>
        <w:rPr>
          <w:rFonts w:ascii="Times New Roman" w:hAnsi="Times New Roman" w:cs="Times New Roman"/>
          <w:noProof/>
          <w:sz w:val="24"/>
          <w:szCs w:val="24"/>
        </w:rPr>
        <w:t xml:space="preserve"> Cooperation with NATO has been stepped up in the COVID-19 crisis, including on pandemic-related disinformation and </w:t>
      </w:r>
      <w:r>
        <w:rPr>
          <w:rFonts w:ascii="Times New Roman" w:hAnsi="Times New Roman"/>
          <w:noProof/>
          <w:sz w:val="24"/>
          <w:szCs w:val="24"/>
        </w:rPr>
        <w:t xml:space="preserve">addressing hostile information activities. </w:t>
      </w:r>
    </w:p>
    <w:p w:rsidR="00872751" w:rsidRDefault="008477BD">
      <w:pPr>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rPr>
        <w:t>In general, t</w:t>
      </w:r>
      <w:r>
        <w:rPr>
          <w:rFonts w:ascii="Times New Roman" w:hAnsi="Times New Roman" w:cs="Times New Roman"/>
          <w:noProof/>
          <w:sz w:val="24"/>
          <w:szCs w:val="24"/>
        </w:rPr>
        <w:t xml:space="preserve">he COVID-19 pandemic has highlighted the rapidly evolving risks of </w:t>
      </w:r>
      <w:r>
        <w:rPr>
          <w:rFonts w:ascii="Times New Roman" w:hAnsi="Times New Roman" w:cs="Times New Roman"/>
          <w:b/>
          <w:bCs/>
          <w:noProof/>
          <w:sz w:val="24"/>
          <w:szCs w:val="24"/>
        </w:rPr>
        <w:t>disinformation</w:t>
      </w:r>
      <w:r>
        <w:rPr>
          <w:rFonts w:ascii="Times New Roman" w:hAnsi="Times New Roman" w:cs="Times New Roman"/>
          <w:noProof/>
          <w:sz w:val="24"/>
          <w:szCs w:val="24"/>
        </w:rPr>
        <w:t xml:space="preserve"> and the real risk to people’s lives</w:t>
      </w:r>
      <w:r>
        <w:rPr>
          <w:rStyle w:val="FootnoteReference"/>
          <w:rFonts w:ascii="Times New Roman" w:hAnsi="Times New Roman" w:cs="Times New Roman"/>
          <w:noProof/>
          <w:sz w:val="24"/>
          <w:szCs w:val="24"/>
        </w:rPr>
        <w:footnoteReference w:id="77"/>
      </w:r>
      <w:r>
        <w:rPr>
          <w:rFonts w:ascii="Times New Roman" w:hAnsi="Times New Roman" w:cs="Times New Roman"/>
          <w:noProof/>
          <w:sz w:val="24"/>
          <w:szCs w:val="24"/>
        </w:rPr>
        <w:t>. O</w:t>
      </w:r>
      <w:r>
        <w:rPr>
          <w:rFonts w:ascii="Times New Roman" w:hAnsi="Times New Roman"/>
          <w:noProof/>
          <w:sz w:val="24"/>
          <w:szCs w:val="24"/>
        </w:rPr>
        <w:t xml:space="preserve">n 10 June 2020 the Commission and the High Representative adopted a </w:t>
      </w:r>
      <w:r>
        <w:rPr>
          <w:rFonts w:ascii="Times New Roman" w:hAnsi="Times New Roman"/>
          <w:b/>
          <w:bCs/>
          <w:noProof/>
          <w:sz w:val="24"/>
          <w:szCs w:val="24"/>
        </w:rPr>
        <w:t>Joint Communication on COVID-19 and disinformation</w:t>
      </w:r>
      <w:r>
        <w:rPr>
          <w:rStyle w:val="FootnoteReference"/>
          <w:rFonts w:ascii="Times New Roman" w:hAnsi="Times New Roman"/>
          <w:b/>
          <w:bCs/>
          <w:noProof/>
          <w:sz w:val="24"/>
          <w:szCs w:val="24"/>
        </w:rPr>
        <w:footnoteReference w:id="78"/>
      </w:r>
      <w:r>
        <w:rPr>
          <w:rFonts w:ascii="Times New Roman" w:hAnsi="Times New Roman"/>
          <w:noProof/>
          <w:sz w:val="24"/>
          <w:szCs w:val="24"/>
        </w:rPr>
        <w:t xml:space="preserve"> to point out the specific risks of COVID-19 disinformation and what action should be taken. This involved action by major online platforms to develop policies to address the threat, and intensified monitoring of platforms’ action as well as dedicated cooperation through the </w:t>
      </w:r>
      <w:r>
        <w:rPr>
          <w:rFonts w:ascii="Times New Roman" w:hAnsi="Times New Roman" w:cs="Times New Roman"/>
          <w:noProof/>
          <w:sz w:val="24"/>
          <w:szCs w:val="24"/>
        </w:rPr>
        <w:t>EEAS-managed Rapid Alert System</w:t>
      </w:r>
      <w:r>
        <w:rPr>
          <w:rFonts w:ascii="Times New Roman" w:hAnsi="Times New Roman"/>
          <w:noProof/>
          <w:sz w:val="24"/>
          <w:szCs w:val="24"/>
        </w:rPr>
        <w:t xml:space="preserve">. The pandemic sparked more efforts to tackle disinformation, and more public awareness. </w:t>
      </w:r>
      <w:r>
        <w:rPr>
          <w:rFonts w:ascii="Times New Roman" w:hAnsi="Times New Roman" w:cs="Times New Roman"/>
          <w:noProof/>
          <w:sz w:val="24"/>
          <w:szCs w:val="24"/>
        </w:rPr>
        <w:t xml:space="preserve">In the first half of 2020, the </w:t>
      </w:r>
      <w:r>
        <w:rPr>
          <w:rFonts w:ascii="Times New Roman" w:hAnsi="Times New Roman" w:cs="Times New Roman"/>
          <w:b/>
          <w:bCs/>
          <w:noProof/>
          <w:sz w:val="24"/>
          <w:szCs w:val="24"/>
        </w:rPr>
        <w:t>EUvsDisinfo</w:t>
      </w:r>
      <w:r>
        <w:rPr>
          <w:rFonts w:ascii="Times New Roman" w:hAnsi="Times New Roman" w:cs="Times New Roman"/>
          <w:noProof/>
          <w:sz w:val="24"/>
          <w:szCs w:val="24"/>
        </w:rPr>
        <w:t xml:space="preserve"> public database of disinformation cases has added 1963 new pro-Kremlin related disinformation cases, of which close to one-third have been related to the COVID-19 infodemic. From mid-March to the end of April 2020, more than 10.000 people visited the website daily, and overall number of visitors grew by 400% compared to the same period </w:t>
      </w:r>
      <w:r>
        <w:rPr>
          <w:rFonts w:ascii="Times New Roman" w:hAnsi="Times New Roman" w:cs="Times New Roman"/>
          <w:noProof/>
          <w:sz w:val="24"/>
          <w:szCs w:val="24"/>
        </w:rPr>
        <w:lastRenderedPageBreak/>
        <w:t>in 2019. The EU response included targeted communication campaigns</w:t>
      </w:r>
      <w:r>
        <w:rPr>
          <w:rStyle w:val="FootnoteReference"/>
          <w:rFonts w:ascii="Times New Roman" w:hAnsi="Times New Roman" w:cs="Times New Roman"/>
          <w:noProof/>
          <w:sz w:val="24"/>
          <w:szCs w:val="24"/>
        </w:rPr>
        <w:footnoteReference w:id="79"/>
      </w:r>
      <w:r>
        <w:rPr>
          <w:rFonts w:ascii="Times New Roman" w:hAnsi="Times New Roman" w:cs="Times New Roman"/>
          <w:noProof/>
          <w:sz w:val="24"/>
          <w:szCs w:val="24"/>
        </w:rPr>
        <w:t>and providing factual information about the pandemic.</w:t>
      </w:r>
    </w:p>
    <w:p w:rsidR="00872751" w:rsidRDefault="008477BD">
      <w:pPr>
        <w:pStyle w:val="Briefinglist1"/>
        <w:numPr>
          <w:ilvl w:val="0"/>
          <w:numId w:val="0"/>
        </w:numPr>
        <w:rPr>
          <w:rFonts w:ascii="Times New Roman" w:hAnsi="Times New Roman" w:cs="Times New Roman"/>
          <w:b/>
          <w:bCs/>
          <w:noProof/>
          <w:sz w:val="24"/>
          <w:szCs w:val="24"/>
          <w:lang w:eastAsia="en-GB"/>
        </w:rPr>
      </w:pPr>
      <w:r>
        <w:rPr>
          <w:rFonts w:ascii="Times New Roman" w:hAnsi="Times New Roman"/>
          <w:noProof/>
          <w:sz w:val="24"/>
          <w:szCs w:val="24"/>
        </w:rPr>
        <w:t xml:space="preserve">The lessons learned have been fed into the development of the </w:t>
      </w:r>
      <w:r>
        <w:rPr>
          <w:rFonts w:ascii="Times New Roman" w:hAnsi="Times New Roman"/>
          <w:b/>
          <w:bCs/>
          <w:noProof/>
          <w:sz w:val="24"/>
          <w:szCs w:val="24"/>
        </w:rPr>
        <w:t xml:space="preserve">European Democracy Action Plan </w:t>
      </w:r>
      <w:r>
        <w:rPr>
          <w:rFonts w:ascii="Times New Roman" w:hAnsi="Times New Roman"/>
          <w:noProof/>
          <w:sz w:val="24"/>
          <w:szCs w:val="24"/>
        </w:rPr>
        <w:t>adopted on 2 December 2020</w:t>
      </w:r>
      <w:r>
        <w:rPr>
          <w:rStyle w:val="FootnoteReference"/>
          <w:rFonts w:ascii="Times New Roman" w:hAnsi="Times New Roman"/>
          <w:noProof/>
          <w:sz w:val="24"/>
          <w:szCs w:val="24"/>
        </w:rPr>
        <w:footnoteReference w:id="80"/>
      </w:r>
      <w:r>
        <w:rPr>
          <w:rFonts w:ascii="Times New Roman" w:hAnsi="Times New Roman"/>
          <w:noProof/>
          <w:sz w:val="24"/>
          <w:szCs w:val="24"/>
        </w:rPr>
        <w:t xml:space="preserve">. This sets out key steps to reinforce the resilience of the EU’s democratic fabric by promoting free and fair elections, addressing strains facing a free and independent media, and combating disinformation. This last aspect will build on the </w:t>
      </w:r>
      <w:r>
        <w:rPr>
          <w:rFonts w:ascii="Times New Roman" w:hAnsi="Times New Roman" w:cs="Times New Roman"/>
          <w:noProof/>
          <w:sz w:val="24"/>
          <w:szCs w:val="24"/>
        </w:rPr>
        <w:t>2018 Action Plan against Disinformation</w:t>
      </w:r>
      <w:r>
        <w:rPr>
          <w:rStyle w:val="FootnoteReference"/>
          <w:rFonts w:ascii="Times New Roman" w:hAnsi="Times New Roman" w:cs="Times New Roman"/>
          <w:noProof/>
          <w:sz w:val="24"/>
          <w:szCs w:val="24"/>
        </w:rPr>
        <w:footnoteReference w:id="81"/>
      </w:r>
      <w:r>
        <w:rPr>
          <w:rFonts w:ascii="Times New Roman" w:hAnsi="Times New Roman" w:cs="Times New Roman"/>
          <w:noProof/>
          <w:sz w:val="24"/>
          <w:szCs w:val="24"/>
        </w:rPr>
        <w:t xml:space="preserve"> as the basis for increased EU action to tackle disinformation and for how to engage key stakeholders in civil society as well as private industry. It also looks forward to the next step with the </w:t>
      </w:r>
      <w:r>
        <w:rPr>
          <w:rFonts w:ascii="Times New Roman" w:hAnsi="Times New Roman" w:cs="Times New Roman"/>
          <w:b/>
          <w:bCs/>
          <w:noProof/>
          <w:sz w:val="24"/>
          <w:szCs w:val="24"/>
        </w:rPr>
        <w:t>Code of Practice on Disinformation</w:t>
      </w:r>
      <w:r>
        <w:rPr>
          <w:rFonts w:ascii="Times New Roman" w:hAnsi="Times New Roman" w:cs="Times New Roman"/>
          <w:noProof/>
          <w:sz w:val="24"/>
          <w:szCs w:val="24"/>
        </w:rPr>
        <w:t>, following the September 2020 assessment of the effectiveness of the Code</w:t>
      </w:r>
      <w:r>
        <w:rPr>
          <w:rStyle w:val="FootnoteReference"/>
          <w:rFonts w:ascii="Times New Roman" w:hAnsi="Times New Roman" w:cs="Times New Roman"/>
          <w:noProof/>
          <w:sz w:val="24"/>
          <w:szCs w:val="24"/>
        </w:rPr>
        <w:footnoteReference w:id="82"/>
      </w:r>
      <w:r>
        <w:rPr>
          <w:rFonts w:ascii="Times New Roman" w:hAnsi="Times New Roman" w:cs="Times New Roman"/>
          <w:noProof/>
          <w:sz w:val="24"/>
          <w:szCs w:val="24"/>
        </w:rPr>
        <w:t xml:space="preserve">. </w:t>
      </w:r>
      <w:r>
        <w:rPr>
          <w:rFonts w:ascii="Times New Roman" w:hAnsi="Times New Roman"/>
          <w:noProof/>
          <w:sz w:val="24"/>
          <w:szCs w:val="24"/>
        </w:rPr>
        <w:t xml:space="preserve">The Code has been an important and necessary step towards creating a more transparent and accountable online platform ecosystem, but would be more effective with more uniform definitions, more consistent implementation, and more action to address specific areas such as micro-targeting. Another key tool that is now at the EU’s disposal is the </w:t>
      </w:r>
      <w:r>
        <w:rPr>
          <w:rFonts w:ascii="Times New Roman" w:hAnsi="Times New Roman"/>
          <w:b/>
          <w:bCs/>
          <w:noProof/>
          <w:sz w:val="24"/>
          <w:szCs w:val="24"/>
        </w:rPr>
        <w:t xml:space="preserve">European Digital Media Observatory, </w:t>
      </w:r>
      <w:r>
        <w:rPr>
          <w:rFonts w:ascii="Times New Roman" w:hAnsi="Times New Roman"/>
          <w:noProof/>
          <w:sz w:val="24"/>
          <w:szCs w:val="24"/>
        </w:rPr>
        <w:t>which became operational as of June 2020. It brings together key stakeholders working on disinformation including fact-checkers and academic researchers.</w:t>
      </w:r>
    </w:p>
    <w:p w:rsidR="00872751" w:rsidRDefault="008477BD">
      <w:pPr>
        <w:spacing w:before="360" w:after="240" w:line="240" w:lineRule="auto"/>
        <w:ind w:left="567" w:hanging="567"/>
        <w:rPr>
          <w:rFonts w:ascii="Times New Roman" w:hAnsi="Times New Roman" w:cs="Times New Roman"/>
          <w:b/>
          <w:bCs/>
          <w:noProof/>
          <w:sz w:val="24"/>
          <w:szCs w:val="24"/>
          <w:lang w:eastAsia="en-GB"/>
        </w:rPr>
      </w:pPr>
      <w:r>
        <w:rPr>
          <w:rFonts w:ascii="Times New Roman" w:hAnsi="Times New Roman" w:cs="Times New Roman"/>
          <w:b/>
          <w:bCs/>
          <w:noProof/>
          <w:sz w:val="24"/>
          <w:szCs w:val="24"/>
          <w:lang w:eastAsia="en-GB"/>
        </w:rPr>
        <w:t>IV</w:t>
      </w:r>
      <w:r>
        <w:rPr>
          <w:rFonts w:ascii="Times New Roman" w:hAnsi="Times New Roman" w:cs="Times New Roman"/>
          <w:b/>
          <w:bCs/>
          <w:noProof/>
          <w:sz w:val="24"/>
          <w:szCs w:val="24"/>
          <w:lang w:eastAsia="en-GB"/>
        </w:rPr>
        <w:tab/>
        <w:t>PROTECTING EUROPEANS FROM TERRORISM AND ORGANISED CRIME</w:t>
      </w:r>
    </w:p>
    <w:p w:rsidR="00872751" w:rsidRDefault="008477BD">
      <w:pPr>
        <w:pStyle w:val="ListParagraph"/>
        <w:numPr>
          <w:ilvl w:val="0"/>
          <w:numId w:val="2"/>
        </w:numPr>
        <w:spacing w:after="120" w:line="240" w:lineRule="auto"/>
        <w:rPr>
          <w:noProof/>
        </w:rPr>
      </w:pPr>
      <w:r>
        <w:rPr>
          <w:rFonts w:ascii="Times New Roman" w:hAnsi="Times New Roman" w:cs="Times New Roman"/>
          <w:b/>
          <w:bCs/>
          <w:i/>
          <w:iCs/>
          <w:noProof/>
          <w:sz w:val="24"/>
          <w:szCs w:val="24"/>
        </w:rPr>
        <w:t>Terrorism and radicalisation</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Recent attacks have shown once again that the terrorist threat in the EU remains high. The murder of a teacher in Conflans-Sainte-Honorine on 16 October 2020 was followed by the killing of three people in the church of Notre-Dame of Nice on 29 October. On 2 November, a terrorist attack in Vienna killed four people, and left 23 wounded</w:t>
      </w:r>
      <w:r>
        <w:rPr>
          <w:rFonts w:ascii="Times New Roman" w:hAnsi="Times New Roman" w:cs="Times New Roman"/>
          <w:noProof/>
          <w:sz w:val="24"/>
          <w:szCs w:val="24"/>
          <w:lang w:eastAsia="en-GB"/>
        </w:rPr>
        <w:t xml:space="preserve">. </w:t>
      </w:r>
      <w:r>
        <w:rPr>
          <w:rFonts w:ascii="Times New Roman" w:hAnsi="Times New Roman" w:cs="Times New Roman"/>
          <w:noProof/>
          <w:sz w:val="24"/>
          <w:szCs w:val="24"/>
        </w:rPr>
        <w:t>On 13 November, the Council adopted a Joint Declaration by EU Home Affairs Ministers on the recent terrorist attacks in France and Austria.</w:t>
      </w:r>
      <w:r>
        <w:rPr>
          <w:rStyle w:val="FootnoteReference"/>
          <w:rFonts w:ascii="Times New Roman" w:hAnsi="Times New Roman" w:cs="Times New Roman"/>
          <w:noProof/>
          <w:sz w:val="24"/>
          <w:szCs w:val="24"/>
        </w:rPr>
        <w:footnoteReference w:id="83"/>
      </w:r>
      <w:r>
        <w:rPr>
          <w:rFonts w:ascii="Times New Roman" w:hAnsi="Times New Roman" w:cs="Times New Roman"/>
          <w:noProof/>
          <w:sz w:val="24"/>
          <w:szCs w:val="24"/>
        </w:rPr>
        <w:t xml:space="preserve"> These recent jihadist-inspired attacks come on top of a rising threat from violent right-wing extremists and other forms of terrorism.</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further support Member States in the fight against terrorism and radicalisation, the Commission is adopting today a </w:t>
      </w:r>
      <w:r>
        <w:rPr>
          <w:rFonts w:ascii="Times New Roman" w:hAnsi="Times New Roman" w:cs="Times New Roman"/>
          <w:b/>
          <w:bCs/>
          <w:noProof/>
          <w:sz w:val="24"/>
          <w:szCs w:val="24"/>
        </w:rPr>
        <w:t>Counter-Terrorism</w:t>
      </w:r>
      <w:r>
        <w:rPr>
          <w:rFonts w:ascii="Times New Roman" w:hAnsi="Times New Roman"/>
          <w:b/>
          <w:bCs/>
          <w:noProof/>
          <w:sz w:val="24"/>
          <w:szCs w:val="24"/>
        </w:rPr>
        <w:t xml:space="preserve"> Agenda </w:t>
      </w:r>
      <w:r>
        <w:rPr>
          <w:rFonts w:ascii="Times New Roman" w:hAnsi="Times New Roman" w:cs="Times New Roman"/>
          <w:b/>
          <w:bCs/>
          <w:noProof/>
          <w:sz w:val="24"/>
          <w:szCs w:val="24"/>
        </w:rPr>
        <w:t>for the EU</w:t>
      </w:r>
      <w:r>
        <w:rPr>
          <w:rStyle w:val="FootnoteReference"/>
          <w:rFonts w:ascii="Times New Roman" w:hAnsi="Times New Roman"/>
          <w:noProof/>
          <w:sz w:val="24"/>
          <w:szCs w:val="24"/>
        </w:rPr>
        <w:footnoteReference w:id="84"/>
      </w:r>
      <w:r>
        <w:rPr>
          <w:rFonts w:ascii="Times New Roman" w:hAnsi="Times New Roman" w:cs="Times New Roman"/>
          <w:noProof/>
          <w:sz w:val="24"/>
          <w:szCs w:val="24"/>
        </w:rPr>
        <w:t xml:space="preserve">. This Agenda builds on existing policies and instruments and will strengthen the EU’s framework to further improve on anticipating threats and risks, preventing radicalisation and violent extremism, protecting people and infrastructures, including through external border security, and effective follow-up after attacks. It also outlines the way forward to improve law enforcement and judicial cooperation, and the use of technologies and sharing of relevant information across the EU, including for those performing checks at the external borders. </w:t>
      </w:r>
      <w:r>
        <w:rPr>
          <w:rFonts w:ascii="Times New Roman" w:hAnsi="Times New Roman" w:cs="Times New Roman"/>
          <w:noProof/>
          <w:color w:val="000000" w:themeColor="text1"/>
          <w:sz w:val="24"/>
          <w:szCs w:val="24"/>
        </w:rPr>
        <w:t>Implementation and enforcement of legislation remains key.</w:t>
      </w:r>
    </w:p>
    <w:p w:rsidR="00872751" w:rsidRDefault="008477BD">
      <w:pPr>
        <w:tabs>
          <w:tab w:val="left" w:pos="993"/>
        </w:tabs>
        <w:spacing w:after="120" w:line="240" w:lineRule="auto"/>
        <w:jc w:val="both"/>
        <w:rPr>
          <w:rFonts w:ascii="Times New Roman" w:hAnsi="Times New Roman" w:cs="Times New Roman"/>
          <w:noProof/>
          <w:sz w:val="24"/>
          <w:szCs w:val="24"/>
        </w:rPr>
      </w:pPr>
      <w:r>
        <w:rPr>
          <w:noProof/>
          <w:lang w:val="en-GB" w:eastAsia="en-GB"/>
        </w:rPr>
        <w:lastRenderedPageBreak/>
        <mc:AlternateContent>
          <mc:Choice Requires="wps">
            <w:drawing>
              <wp:anchor distT="0" distB="0" distL="114300" distR="114300" simplePos="0" relativeHeight="251658752" behindDoc="0" locked="0" layoutInCell="1" allowOverlap="1">
                <wp:simplePos x="0" y="0"/>
                <wp:positionH relativeFrom="column">
                  <wp:posOffset>5805805</wp:posOffset>
                </wp:positionH>
                <wp:positionV relativeFrom="paragraph">
                  <wp:posOffset>721995</wp:posOffset>
                </wp:positionV>
                <wp:extent cx="539115" cy="26670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539115" cy="266700"/>
                        </a:xfrm>
                        <a:prstGeom prst="rect">
                          <a:avLst/>
                        </a:prstGeom>
                        <a:solidFill>
                          <a:prstClr val="white"/>
                        </a:solidFill>
                        <a:ln>
                          <a:noFill/>
                        </a:ln>
                      </wps:spPr>
                      <wps:txbx>
                        <w:txbxContent>
                          <w:p w:rsidR="00872751" w:rsidRDefault="00872751"/>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457.15pt;margin-top:56.85pt;width:42.45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" stroked="f">
                <v:textbox inset="0,0,0,0">
                  <w:txbxContent>
                    <w:p w:rsidR="00872751" w:rsidRDefault="00872751"/>
                  </w:txbxContent>
                </v:textbox>
                <w10:wrap type="square"/>
              </v:shape>
            </w:pict>
          </mc:Fallback>
        </mc:AlternateContent>
      </w:r>
      <w:r>
        <w:rPr>
          <w:rFonts w:ascii="Times New Roman" w:hAnsi="Times New Roman" w:cs="Times New Roman"/>
          <w:noProof/>
          <w:sz w:val="24"/>
          <w:szCs w:val="24"/>
        </w:rPr>
        <w:t xml:space="preserve">Prevention is key to fighting terrorism. EU efforts in the field of </w:t>
      </w:r>
      <w:r>
        <w:rPr>
          <w:rFonts w:ascii="Times New Roman" w:hAnsi="Times New Roman" w:cs="Times New Roman"/>
          <w:b/>
          <w:bCs/>
          <w:noProof/>
          <w:sz w:val="24"/>
          <w:szCs w:val="24"/>
          <w:lang w:eastAsia="en-GB"/>
        </w:rPr>
        <w:t>prevention of radicalisation</w:t>
      </w:r>
      <w:r>
        <w:rPr>
          <w:rFonts w:ascii="Times New Roman" w:hAnsi="Times New Roman" w:cs="Times New Roman"/>
          <w:noProof/>
          <w:sz w:val="24"/>
          <w:szCs w:val="24"/>
          <w:lang w:eastAsia="en-GB"/>
        </w:rPr>
        <w:t xml:space="preserve"> build on the solid experience gained so far in the support to first line practitioners and policy makers</w:t>
      </w:r>
      <w:r>
        <w:rPr>
          <w:rFonts w:ascii="Arial" w:hAnsi="Arial" w:cs="Arial"/>
          <w:noProof/>
        </w:rPr>
        <w:t xml:space="preserve">. </w:t>
      </w:r>
      <w:r>
        <w:rPr>
          <w:rFonts w:ascii="Times New Roman" w:hAnsi="Times New Roman" w:cs="Times New Roman"/>
          <w:noProof/>
          <w:sz w:val="24"/>
          <w:szCs w:val="24"/>
        </w:rPr>
        <w:t xml:space="preserve">On 24 November, the Commission adopted a new </w:t>
      </w:r>
      <w:r>
        <w:rPr>
          <w:rFonts w:ascii="Times New Roman" w:hAnsi="Times New Roman" w:cs="Times New Roman"/>
          <w:b/>
          <w:bCs/>
          <w:noProof/>
          <w:sz w:val="24"/>
          <w:szCs w:val="24"/>
        </w:rPr>
        <w:t>Action Plan on Integration and Inclusion</w:t>
      </w:r>
      <w:r>
        <w:rPr>
          <w:rStyle w:val="FootnoteReference"/>
          <w:rFonts w:ascii="Times New Roman" w:hAnsi="Times New Roman" w:cs="Times New Roman"/>
          <w:noProof/>
          <w:sz w:val="24"/>
          <w:szCs w:val="24"/>
        </w:rPr>
        <w:footnoteReference w:id="85"/>
      </w:r>
      <w:r>
        <w:rPr>
          <w:rFonts w:ascii="Times New Roman" w:hAnsi="Times New Roman" w:cs="Times New Roman"/>
          <w:noProof/>
          <w:sz w:val="24"/>
          <w:szCs w:val="24"/>
        </w:rPr>
        <w:t xml:space="preserve">. It is critical in the fight against radicalisation to work harder to bring communities together. A more cohesive and inclusive society can help prevent the spread of extremist ideologies that can lead to terrorism and violent extremism. Support to the </w:t>
      </w:r>
      <w:r>
        <w:rPr>
          <w:rFonts w:ascii="Times New Roman" w:hAnsi="Times New Roman" w:cs="Times New Roman"/>
          <w:b/>
          <w:bCs/>
          <w:noProof/>
          <w:sz w:val="24"/>
          <w:szCs w:val="24"/>
        </w:rPr>
        <w:t>Radicalisation Awareness Network</w:t>
      </w:r>
      <w:r>
        <w:rPr>
          <w:rFonts w:ascii="Times New Roman" w:hAnsi="Times New Roman" w:cs="Times New Roman"/>
          <w:noProof/>
          <w:sz w:val="24"/>
          <w:szCs w:val="24"/>
        </w:rPr>
        <w:t xml:space="preserve"> includes a further €30m contract in January 2020 for the next four years of help to practitioners on the ground, as well as extra support to</w:t>
      </w: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support policy makers and researchers. These and other instruments, such as the </w:t>
      </w:r>
      <w:r>
        <w:rPr>
          <w:rFonts w:ascii="Times New Roman" w:hAnsi="Times New Roman"/>
          <w:b/>
          <w:noProof/>
          <w:sz w:val="24"/>
        </w:rPr>
        <w:t>EU Internet Forum</w:t>
      </w:r>
      <w:r>
        <w:rPr>
          <w:rFonts w:ascii="Times New Roman" w:hAnsi="Times New Roman" w:cs="Times New Roman"/>
          <w:noProof/>
          <w:sz w:val="24"/>
          <w:szCs w:val="24"/>
        </w:rPr>
        <w:t xml:space="preserve">, will enable the Commission to address the priority actions highlighted in the 2021 Strategic Orientations on a coordinated EU approach to the prevention of radicalisation, developed with Member States. They are complemented by actions in the Counter-terrorism Agenda to counter extremist ideologies online, step up efforts in prisons and on rehabilitation and reintegration including for foreign terrorist fighters, and to strengthening support to local actors and building more resilient communities.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bCs/>
          <w:noProof/>
          <w:sz w:val="24"/>
          <w:szCs w:val="24"/>
        </w:rPr>
        <w:t>Directive on combating terrorism</w:t>
      </w:r>
      <w:r>
        <w:rPr>
          <w:rStyle w:val="FootnoteReference"/>
          <w:rFonts w:ascii="Times New Roman" w:hAnsi="Times New Roman" w:cs="Times New Roman"/>
          <w:noProof/>
          <w:sz w:val="24"/>
          <w:szCs w:val="24"/>
        </w:rPr>
        <w:footnoteReference w:id="86"/>
      </w:r>
      <w:r>
        <w:rPr>
          <w:rFonts w:ascii="Times New Roman" w:hAnsi="Times New Roman" w:cs="Times New Roman"/>
          <w:noProof/>
          <w:sz w:val="24"/>
          <w:szCs w:val="24"/>
        </w:rPr>
        <w:t xml:space="preserve"> adopted in March 2017, is the main criminal justice instrument at EU level to counter terrorism. It sets minimum standards for defining terrorist and terrorism-related offences and for sanctions, while also giving victims of terrorism rights to protection, support and assistance. On 30 September 2020, the Commission adopted a </w:t>
      </w:r>
      <w:hyperlink r:id="rId20" w:history="1">
        <w:r>
          <w:rPr>
            <w:rFonts w:ascii="Times New Roman" w:hAnsi="Times New Roman" w:cs="Times New Roman"/>
            <w:noProof/>
            <w:sz w:val="24"/>
            <w:szCs w:val="24"/>
          </w:rPr>
          <w:t>report</w:t>
        </w:r>
      </w:hyperlink>
      <w:r>
        <w:rPr>
          <w:rStyle w:val="FootnoteReference"/>
          <w:rFonts w:ascii="Times New Roman" w:hAnsi="Times New Roman" w:cs="Times New Roman"/>
          <w:noProof/>
          <w:sz w:val="24"/>
          <w:szCs w:val="24"/>
        </w:rPr>
        <w:footnoteReference w:id="87"/>
      </w:r>
      <w:r>
        <w:rPr>
          <w:rFonts w:ascii="Times New Roman" w:hAnsi="Times New Roman" w:cs="Times New Roman"/>
          <w:noProof/>
          <w:sz w:val="24"/>
          <w:szCs w:val="24"/>
        </w:rPr>
        <w:t xml:space="preserve"> assessing the measures that Member States have taken to comply with the Directive. It concludes that transposition into national law helped strengthen Member States' criminal justice approach to terrorism and the rights afforded to victims of terrorism, but that gaps remain. For example, not all Member States criminalise in their national law all the offences listed in the Directive as terrorist offences, as well as the provisions to criminalise travel for terrorism purposes and address the financing of terrorism, as well as to support victims. An evaluation report on the Directive will be adopted later in 2021.</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EU continues to work to support Member States to deny terrorists the means to attack and to support implementation of the rules. The Regulation on the marketing and use of</w:t>
      </w:r>
      <w:r>
        <w:rPr>
          <w:rFonts w:ascii="Times New Roman" w:hAnsi="Times New Roman" w:cs="Times New Roman"/>
          <w:b/>
          <w:bCs/>
          <w:noProof/>
          <w:sz w:val="24"/>
          <w:szCs w:val="24"/>
        </w:rPr>
        <w:t xml:space="preserve"> explosives precursors </w:t>
      </w:r>
      <w:r>
        <w:rPr>
          <w:rFonts w:ascii="Times New Roman" w:hAnsi="Times New Roman" w:cs="Times New Roman"/>
          <w:noProof/>
          <w:sz w:val="24"/>
          <w:szCs w:val="24"/>
        </w:rPr>
        <w:t>adopted in June 2019</w:t>
      </w:r>
      <w:r>
        <w:rPr>
          <w:rStyle w:val="FootnoteReference"/>
          <w:rFonts w:ascii="Times New Roman" w:hAnsi="Times New Roman" w:cs="Times New Roman"/>
          <w:noProof/>
          <w:sz w:val="24"/>
          <w:szCs w:val="24"/>
        </w:rPr>
        <w:footnoteReference w:id="88"/>
      </w:r>
      <w:r>
        <w:rPr>
          <w:rFonts w:ascii="Times New Roman" w:hAnsi="Times New Roman" w:cs="Times New Roman"/>
          <w:noProof/>
          <w:sz w:val="24"/>
          <w:szCs w:val="24"/>
        </w:rPr>
        <w:t xml:space="preserve"> will start to apply as of 1 February 2021. To help national authorities and the private sector implement the Regulation, in June 2020 the Commission published a set of guidelines</w:t>
      </w:r>
      <w:r>
        <w:rPr>
          <w:rStyle w:val="FootnoteReference"/>
          <w:rFonts w:ascii="Times New Roman" w:hAnsi="Times New Roman" w:cs="Times New Roman"/>
          <w:noProof/>
          <w:sz w:val="24"/>
          <w:szCs w:val="24"/>
        </w:rPr>
        <w:footnoteReference w:id="89"/>
      </w:r>
      <w:r>
        <w:rPr>
          <w:rFonts w:ascii="Times New Roman" w:hAnsi="Times New Roman" w:cs="Times New Roman"/>
          <w:noProof/>
          <w:sz w:val="24"/>
          <w:szCs w:val="24"/>
        </w:rPr>
        <w:t>. In addition, the Commission established a programme in June 2020</w:t>
      </w:r>
      <w:r>
        <w:rPr>
          <w:rStyle w:val="FootnoteReference"/>
          <w:rFonts w:ascii="Times New Roman" w:hAnsi="Times New Roman" w:cs="Times New Roman"/>
          <w:noProof/>
          <w:sz w:val="24"/>
          <w:szCs w:val="24"/>
        </w:rPr>
        <w:footnoteReference w:id="90"/>
      </w:r>
      <w:r>
        <w:rPr>
          <w:rFonts w:ascii="Times New Roman" w:hAnsi="Times New Roman" w:cs="Times New Roman"/>
          <w:noProof/>
          <w:sz w:val="24"/>
          <w:szCs w:val="24"/>
        </w:rPr>
        <w:t xml:space="preserve"> to monitor the outputs, results and impact of the Regulation. </w:t>
      </w:r>
    </w:p>
    <w:p w:rsidR="00872751" w:rsidRDefault="008477BD">
      <w:pPr>
        <w:spacing w:after="120" w:line="240" w:lineRule="auto"/>
        <w:jc w:val="both"/>
        <w:rPr>
          <w:rFonts w:ascii="Times New Roman" w:eastAsia="Times New Roman" w:hAnsi="Times New Roman" w:cs="Times New Roman"/>
          <w:noProof/>
          <w:sz w:val="24"/>
          <w:szCs w:val="24"/>
          <w:lang w:val="en-GB" w:eastAsia="en-GB"/>
        </w:rPr>
      </w:pPr>
      <w:r>
        <w:rPr>
          <w:rFonts w:ascii="Times New Roman" w:hAnsi="Times New Roman" w:cs="Times New Roman"/>
          <w:noProof/>
          <w:sz w:val="24"/>
          <w:szCs w:val="24"/>
        </w:rPr>
        <w:t xml:space="preserve">In November 2019 the Commission invited Member States to assess the implementation of the 2017 Action Plan to enhance preparedness against </w:t>
      </w:r>
      <w:r>
        <w:rPr>
          <w:rFonts w:ascii="Times New Roman" w:hAnsi="Times New Roman" w:cs="Times New Roman"/>
          <w:b/>
          <w:bCs/>
          <w:noProof/>
          <w:sz w:val="24"/>
          <w:szCs w:val="24"/>
        </w:rPr>
        <w:t>chemical, biological, radiological and nuclear (</w:t>
      </w:r>
      <w:r>
        <w:rPr>
          <w:rFonts w:ascii="Times New Roman" w:hAnsi="Times New Roman"/>
          <w:b/>
          <w:bCs/>
          <w:noProof/>
          <w:sz w:val="24"/>
          <w:szCs w:val="24"/>
        </w:rPr>
        <w:t>CBRN</w:t>
      </w:r>
      <w:r>
        <w:rPr>
          <w:rFonts w:ascii="Times New Roman" w:hAnsi="Times New Roman" w:cs="Times New Roman"/>
          <w:b/>
          <w:bCs/>
          <w:noProof/>
          <w:sz w:val="24"/>
          <w:szCs w:val="24"/>
        </w:rPr>
        <w:t>)</w:t>
      </w:r>
      <w:r>
        <w:rPr>
          <w:rFonts w:ascii="Times New Roman" w:hAnsi="Times New Roman" w:cs="Times New Roman"/>
          <w:noProof/>
          <w:sz w:val="24"/>
          <w:szCs w:val="24"/>
        </w:rPr>
        <w:t xml:space="preserve"> risks</w:t>
      </w:r>
      <w:r>
        <w:rPr>
          <w:rStyle w:val="FootnoteReference"/>
          <w:rFonts w:ascii="Times New Roman" w:hAnsi="Times New Roman" w:cs="Times New Roman"/>
          <w:noProof/>
          <w:sz w:val="24"/>
          <w:szCs w:val="24"/>
        </w:rPr>
        <w:footnoteReference w:id="91"/>
      </w:r>
      <w:r>
        <w:rPr>
          <w:rFonts w:ascii="Times New Roman" w:hAnsi="Times New Roman" w:cs="Times New Roman"/>
          <w:noProof/>
          <w:sz w:val="24"/>
          <w:szCs w:val="24"/>
        </w:rPr>
        <w:t xml:space="preserve">. The overall conclusion was that a majority of actions have been implemented. In the beginning of 2020 the Commission, in cooperation with national experts, established a list of high risk chemicals of concern. This was the basis for engagement with equipment manufacturers with a view to improve detection capabilities. Recently, the Commission launched a study into the feasibility of restricting access to some </w:t>
      </w:r>
      <w:r>
        <w:rPr>
          <w:rFonts w:ascii="Times New Roman" w:hAnsi="Times New Roman" w:cs="Times New Roman"/>
          <w:noProof/>
          <w:sz w:val="24"/>
          <w:szCs w:val="24"/>
        </w:rPr>
        <w:lastRenderedPageBreak/>
        <w:t xml:space="preserve">of these chemicals. </w:t>
      </w:r>
      <w:r>
        <w:rPr>
          <w:rFonts w:ascii="Times New Roman" w:eastAsia="Times New Roman" w:hAnsi="Times New Roman" w:cs="Times New Roman"/>
          <w:noProof/>
          <w:sz w:val="24"/>
          <w:szCs w:val="24"/>
          <w:lang w:val="en-GB" w:eastAsia="en-GB"/>
        </w:rPr>
        <w:t xml:space="preserve">Work is also ongoing as part of the Union Civil Protection Mechanism, and additional CBRN response capacities are being discussed with Member States in the fields of Decontamination, Detection, Surveillance and Monitoring, as well as stockpiling.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On 12 October 2020, the Council decided to extend the sanctions regime against the proliferation and use of chemical weapons by one year</w:t>
      </w:r>
      <w:r>
        <w:rPr>
          <w:rStyle w:val="FootnoteReference"/>
          <w:rFonts w:ascii="Times New Roman" w:hAnsi="Times New Roman" w:cs="Times New Roman"/>
          <w:noProof/>
          <w:sz w:val="24"/>
          <w:szCs w:val="24"/>
        </w:rPr>
        <w:footnoteReference w:id="92"/>
      </w:r>
      <w:r>
        <w:rPr>
          <w:rFonts w:ascii="Times New Roman" w:hAnsi="Times New Roman" w:cs="Times New Roman"/>
          <w:noProof/>
          <w:sz w:val="24"/>
          <w:szCs w:val="24"/>
        </w:rPr>
        <w:t>, allowing the EU to impose restrictive measures on persons and entities involved in the development and use of chemical weapons.On 14 October 2020 the Council adopted restrictive measures against six individuals and one entity involved in the assassination attempt on Alexei Navalny, who was poisoned with a toxic nerve agent of the “Novichok” group on 20 August 2020 in Russia</w:t>
      </w:r>
      <w:r>
        <w:rPr>
          <w:rStyle w:val="FootnoteReference"/>
          <w:rFonts w:ascii="Times New Roman" w:hAnsi="Times New Roman" w:cs="Times New Roman"/>
          <w:noProof/>
          <w:sz w:val="24"/>
          <w:szCs w:val="24"/>
        </w:rPr>
        <w:footnoteReference w:id="93"/>
      </w:r>
      <w:r>
        <w:rPr>
          <w:rFonts w:ascii="Times New Roman" w:hAnsi="Times New Roman" w:cs="Times New Roman"/>
          <w:noProof/>
          <w:sz w:val="24"/>
          <w:szCs w:val="24"/>
        </w:rPr>
        <w:t xml:space="preserve">. </w:t>
      </w:r>
    </w:p>
    <w:p w:rsidR="00872751" w:rsidRDefault="008477BD">
      <w:pPr>
        <w:pStyle w:val="ListParagraph"/>
        <w:spacing w:after="120" w:line="240" w:lineRule="auto"/>
        <w:ind w:left="0"/>
        <w:contextualSpacing w:val="0"/>
        <w:jc w:val="both"/>
        <w:rPr>
          <w:noProof/>
        </w:rPr>
      </w:pPr>
      <w:r>
        <w:rPr>
          <w:rFonts w:ascii="Times New Roman" w:hAnsi="Times New Roman" w:cs="Times New Roman"/>
          <w:b/>
          <w:bCs/>
          <w:noProof/>
          <w:sz w:val="24"/>
          <w:szCs w:val="24"/>
        </w:rPr>
        <w:t>Financial information</w:t>
      </w:r>
      <w:r>
        <w:rPr>
          <w:rFonts w:ascii="Times New Roman" w:hAnsi="Times New Roman" w:cs="Times New Roman"/>
          <w:noProof/>
          <w:sz w:val="24"/>
          <w:szCs w:val="24"/>
        </w:rPr>
        <w:t xml:space="preserve"> is also crucial to allow for the identification of terrorist networks, as terrorists rely on finance for travel, training and equipment, and </w:t>
      </w:r>
      <w:r>
        <w:rPr>
          <w:rFonts w:ascii="Times New Roman" w:hAnsi="Times New Roman" w:cs="Times New Roman"/>
          <w:b/>
          <w:bCs/>
          <w:noProof/>
          <w:sz w:val="24"/>
          <w:szCs w:val="24"/>
        </w:rPr>
        <w:t>counter-terrorist financing</w:t>
      </w:r>
      <w:r>
        <w:rPr>
          <w:rFonts w:ascii="Times New Roman" w:hAnsi="Times New Roman" w:cs="Times New Roman"/>
          <w:noProof/>
          <w:sz w:val="24"/>
          <w:szCs w:val="24"/>
        </w:rPr>
        <w:t xml:space="preserve"> efforts are essential to counter-terrorism investigations. Key issues include exploiting existing tools and intelligence to their full potential, properly implementing internationally agreed standards, and addressing the evolving challenges posed by emerging technologies and social media platforms</w:t>
      </w:r>
      <w:r>
        <w:rPr>
          <w:rStyle w:val="FootnoteReference"/>
          <w:rFonts w:ascii="Times New Roman" w:hAnsi="Times New Roman" w:cs="Times New Roman"/>
          <w:noProof/>
          <w:sz w:val="24"/>
          <w:szCs w:val="24"/>
        </w:rPr>
        <w:footnoteReference w:id="94"/>
      </w:r>
      <w:r>
        <w:rPr>
          <w:rFonts w:ascii="Times New Roman" w:hAnsi="Times New Roman" w:cs="Times New Roman"/>
          <w:noProof/>
          <w:sz w:val="24"/>
          <w:szCs w:val="24"/>
        </w:rPr>
        <w:t xml:space="preserve"> (see below). </w:t>
      </w:r>
    </w:p>
    <w:p w:rsidR="00872751" w:rsidRDefault="008477BD">
      <w:pPr>
        <w:spacing w:after="120" w:line="240" w:lineRule="auto"/>
        <w:jc w:val="both"/>
        <w:rPr>
          <w:rFonts w:ascii="Times New Roman" w:hAnsi="Times New Roman"/>
          <w:noProof/>
          <w:sz w:val="24"/>
        </w:rPr>
      </w:pPr>
      <w:r>
        <w:rPr>
          <w:rFonts w:ascii="Times New Roman" w:hAnsi="Times New Roman" w:cs="Times New Roman"/>
          <w:noProof/>
          <w:sz w:val="24"/>
          <w:szCs w:val="24"/>
        </w:rPr>
        <w:t xml:space="preserve">The </w:t>
      </w:r>
      <w:r>
        <w:rPr>
          <w:rFonts w:ascii="Times New Roman" w:hAnsi="Times New Roman" w:cs="Times New Roman"/>
          <w:b/>
          <w:bCs/>
          <w:noProof/>
          <w:sz w:val="24"/>
          <w:szCs w:val="24"/>
        </w:rPr>
        <w:t>transport</w:t>
      </w:r>
      <w:r>
        <w:rPr>
          <w:rFonts w:ascii="Times New Roman" w:hAnsi="Times New Roman" w:cs="Times New Roman"/>
          <w:noProof/>
          <w:sz w:val="24"/>
          <w:szCs w:val="24"/>
        </w:rPr>
        <w:t xml:space="preserve"> network has been and continues to a target for terrorism. EU efforts include a risk-based assessment approach to protect the aviation sector</w:t>
      </w:r>
      <w:r>
        <w:rPr>
          <w:rStyle w:val="FootnoteReference"/>
          <w:rFonts w:ascii="Times New Roman" w:hAnsi="Times New Roman" w:cs="Times New Roman"/>
          <w:noProof/>
          <w:sz w:val="24"/>
          <w:szCs w:val="24"/>
        </w:rPr>
        <w:footnoteReference w:id="95"/>
      </w:r>
      <w:r>
        <w:rPr>
          <w:rFonts w:ascii="Times New Roman" w:hAnsi="Times New Roman" w:cs="Times New Roman"/>
          <w:noProof/>
          <w:sz w:val="24"/>
          <w:szCs w:val="24"/>
        </w:rPr>
        <w:t>. Conflict zones pose a serious risk to civil aviation and information and risk assessment sharing is instrumental to risk mitigation</w:t>
      </w:r>
      <w:r>
        <w:rPr>
          <w:rStyle w:val="FootnoteReference"/>
          <w:rFonts w:ascii="Times New Roman" w:hAnsi="Times New Roman" w:cs="Times New Roman"/>
          <w:noProof/>
          <w:sz w:val="24"/>
          <w:szCs w:val="24"/>
        </w:rPr>
        <w:footnoteReference w:id="96"/>
      </w:r>
      <w:r>
        <w:rPr>
          <w:rFonts w:ascii="Times New Roman" w:hAnsi="Times New Roman" w:cs="Times New Roman"/>
          <w:noProof/>
          <w:sz w:val="24"/>
          <w:szCs w:val="24"/>
        </w:rPr>
        <w:t xml:space="preserve">. The EU </w:t>
      </w:r>
      <w:r>
        <w:rPr>
          <w:rFonts w:ascii="Times New Roman" w:hAnsi="Times New Roman" w:cs="Times New Roman"/>
          <w:b/>
          <w:bCs/>
          <w:noProof/>
          <w:sz w:val="24"/>
          <w:szCs w:val="24"/>
        </w:rPr>
        <w:t>Conflict Zone Risk Assessment</w:t>
      </w:r>
      <w:r>
        <w:rPr>
          <w:rFonts w:ascii="Times New Roman" w:hAnsi="Times New Roman" w:cs="Times New Roman"/>
          <w:noProof/>
          <w:sz w:val="24"/>
          <w:szCs w:val="24"/>
        </w:rPr>
        <w:t xml:space="preserve"> Information Alerting System is recognized as best practice and international standards on information sharing have been incorporated into EU legislation</w:t>
      </w:r>
      <w:r>
        <w:rPr>
          <w:rFonts w:ascii="Times New Roman" w:hAnsi="Times New Roman" w:cs="Times New Roman"/>
          <w:noProof/>
          <w:sz w:val="24"/>
          <w:szCs w:val="24"/>
          <w:vertAlign w:val="superscript"/>
        </w:rPr>
        <w:footnoteReference w:id="97"/>
      </w:r>
      <w:r>
        <w:rPr>
          <w:rFonts w:ascii="Times New Roman" w:hAnsi="Times New Roman" w:cs="Times New Roman"/>
          <w:noProof/>
          <w:sz w:val="24"/>
          <w:szCs w:val="24"/>
        </w:rPr>
        <w:t xml:space="preserve">. Based on the experience gained in the area of civil aviation, the Commission has extended the risk assessment based approach to other transport modes. The implementation of the EU </w:t>
      </w:r>
      <w:r>
        <w:rPr>
          <w:rFonts w:ascii="Times New Roman" w:hAnsi="Times New Roman" w:cs="Times New Roman"/>
          <w:b/>
          <w:bCs/>
          <w:noProof/>
          <w:sz w:val="24"/>
          <w:szCs w:val="24"/>
        </w:rPr>
        <w:t xml:space="preserve">Rail Security </w:t>
      </w:r>
      <w:r>
        <w:rPr>
          <w:rFonts w:ascii="Times New Roman" w:hAnsi="Times New Roman"/>
          <w:b/>
          <w:noProof/>
          <w:sz w:val="24"/>
        </w:rPr>
        <w:t>Action Plan</w:t>
      </w:r>
      <w:r>
        <w:rPr>
          <w:rStyle w:val="FootnoteReference"/>
          <w:rFonts w:ascii="Times New Roman" w:hAnsi="Times New Roman" w:cs="Times New Roman"/>
          <w:noProof/>
          <w:sz w:val="24"/>
          <w:szCs w:val="24"/>
        </w:rPr>
        <w:footnoteReference w:id="98"/>
      </w:r>
      <w:r>
        <w:rPr>
          <w:rFonts w:ascii="Times New Roman" w:hAnsi="Times New Roman" w:cs="Times New Roman"/>
          <w:noProof/>
          <w:sz w:val="24"/>
          <w:szCs w:val="24"/>
        </w:rPr>
        <w:t xml:space="preserve"> is well under way and benefits from the expertise of the EU Rail Passenger Platform, a dedicated expert group established by the Commission. In the maritime domain, the risk assessment based approach is well known and applied, and the Commission works with Member States and stakeholders to reinforce passenger security. This is incorporated into the </w:t>
      </w:r>
      <w:r>
        <w:rPr>
          <w:rFonts w:ascii="Times New Roman" w:hAnsi="Times New Roman" w:cs="Times New Roman"/>
          <w:b/>
          <w:bCs/>
          <w:noProof/>
          <w:sz w:val="24"/>
          <w:szCs w:val="24"/>
        </w:rPr>
        <w:t>EU Maritime Security Strategy</w:t>
      </w:r>
      <w:r>
        <w:rPr>
          <w:rFonts w:ascii="Times New Roman" w:hAnsi="Times New Roman" w:cs="Times New Roman"/>
          <w:noProof/>
          <w:sz w:val="24"/>
          <w:szCs w:val="24"/>
        </w:rPr>
        <w:t xml:space="preserve"> and its </w:t>
      </w:r>
      <w:r>
        <w:rPr>
          <w:rFonts w:ascii="Times New Roman" w:hAnsi="Times New Roman" w:cs="Times New Roman"/>
          <w:b/>
          <w:bCs/>
          <w:noProof/>
          <w:sz w:val="24"/>
          <w:szCs w:val="24"/>
        </w:rPr>
        <w:t>Action plan</w:t>
      </w:r>
      <w:r>
        <w:rPr>
          <w:rFonts w:ascii="Times New Roman" w:hAnsi="Times New Roman" w:cs="Times New Roman"/>
          <w:noProof/>
          <w:sz w:val="24"/>
          <w:szCs w:val="24"/>
        </w:rPr>
        <w:t>, revised in 2018, including also a security and defence dimension. This is set out in last implementation report, adopted and published on 23 October 2020</w:t>
      </w:r>
      <w:r>
        <w:rPr>
          <w:rStyle w:val="FootnoteReference"/>
          <w:rFonts w:ascii="Times New Roman" w:hAnsi="Times New Roman" w:cs="Times New Roman"/>
          <w:noProof/>
          <w:sz w:val="24"/>
          <w:szCs w:val="24"/>
        </w:rPr>
        <w:footnoteReference w:id="99"/>
      </w:r>
      <w:r>
        <w:rPr>
          <w:noProof/>
        </w:rPr>
        <w:t>.</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Europol</w:t>
      </w:r>
      <w:r>
        <w:rPr>
          <w:rFonts w:ascii="Times New Roman" w:hAnsi="Times New Roman" w:cs="Times New Roman"/>
          <w:noProof/>
          <w:sz w:val="24"/>
          <w:szCs w:val="24"/>
        </w:rPr>
        <w:t xml:space="preserve"> provides support to Member States in investigations linked to terrorism through the </w:t>
      </w:r>
      <w:r>
        <w:rPr>
          <w:rFonts w:ascii="Times New Roman" w:hAnsi="Times New Roman" w:cs="Times New Roman"/>
          <w:b/>
          <w:bCs/>
          <w:noProof/>
          <w:sz w:val="24"/>
          <w:szCs w:val="24"/>
        </w:rPr>
        <w:t>European Counter Terrorism Centre (ECTC)</w:t>
      </w:r>
      <w:r>
        <w:rPr>
          <w:rFonts w:ascii="Times New Roman" w:hAnsi="Times New Roman" w:cs="Times New Roman"/>
          <w:noProof/>
          <w:sz w:val="24"/>
          <w:szCs w:val="24"/>
        </w:rPr>
        <w:t xml:space="preserve">. Member State requests for operational support to ECTC continued to increase, and ECTC is now part of nearly every major counter-terrorism investigation. During 2019, Europol supported a total of 632 different operations in the area of counter-terrorism. Member States investigators have also shown an increasing </w:t>
      </w:r>
      <w:r>
        <w:rPr>
          <w:rFonts w:ascii="Times New Roman" w:hAnsi="Times New Roman" w:cs="Times New Roman"/>
          <w:noProof/>
          <w:sz w:val="24"/>
          <w:szCs w:val="24"/>
        </w:rPr>
        <w:lastRenderedPageBreak/>
        <w:t>appreciation of this work, moving from a satisfaction level of 8/10 in 2018 to 9.1/10 in 2019. ECTC coordinated a total of 18 Action Days in 2019</w:t>
      </w:r>
      <w:r>
        <w:rPr>
          <w:rStyle w:val="FootnoteReference"/>
          <w:rFonts w:ascii="Times New Roman" w:hAnsi="Times New Roman" w:cs="Times New Roman"/>
          <w:noProof/>
          <w:sz w:val="24"/>
          <w:szCs w:val="24"/>
        </w:rPr>
        <w:footnoteReference w:id="100"/>
      </w:r>
      <w:r>
        <w:rPr>
          <w:rFonts w:ascii="Times New Roman" w:hAnsi="Times New Roman" w:cs="Times New Roman"/>
          <w:noProof/>
          <w:sz w:val="24"/>
          <w:szCs w:val="24"/>
        </w:rPr>
        <w:t xml:space="preserv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Eurojust</w:t>
      </w:r>
      <w:r>
        <w:rPr>
          <w:rFonts w:ascii="Times New Roman" w:hAnsi="Times New Roman" w:cs="Times New Roman"/>
          <w:noProof/>
          <w:sz w:val="24"/>
          <w:szCs w:val="24"/>
        </w:rPr>
        <w:t xml:space="preserve"> also supported 116 terrorism investigations in 2019 and 2020. Current work will lead to a</w:t>
      </w:r>
      <w:r>
        <w:rPr>
          <w:rFonts w:ascii="Times New Roman" w:eastAsia="Times New Roman" w:hAnsi="Times New Roman" w:cs="Times New Roman"/>
          <w:noProof/>
          <w:sz w:val="24"/>
          <w:szCs w:val="24"/>
          <w:lang w:eastAsia="en-GB"/>
        </w:rPr>
        <w:t xml:space="preserve"> legislative proposal on exchanges on digital cross-border terrorism cases</w:t>
      </w:r>
      <w:r>
        <w:rPr>
          <w:rFonts w:ascii="Times New Roman" w:hAnsi="Times New Roman" w:cs="Times New Roman"/>
          <w:noProof/>
          <w:sz w:val="24"/>
          <w:szCs w:val="24"/>
        </w:rPr>
        <w:t xml:space="preserve"> to develop the Counter Terrorism Register launched in 2019</w:t>
      </w:r>
      <w:r>
        <w:rPr>
          <w:rStyle w:val="FootnoteReference"/>
          <w:rFonts w:ascii="Times New Roman" w:hAnsi="Times New Roman" w:cs="Times New Roman"/>
          <w:noProof/>
          <w:sz w:val="24"/>
          <w:szCs w:val="24"/>
        </w:rPr>
        <w:footnoteReference w:id="101"/>
      </w:r>
      <w:r>
        <w:rPr>
          <w:rFonts w:ascii="Times New Roman" w:hAnsi="Times New Roman" w:cs="Times New Roman"/>
          <w:noProof/>
          <w:sz w:val="24"/>
          <w:szCs w:val="24"/>
        </w:rPr>
        <w:t xml:space="preserve">, as well as </w:t>
      </w:r>
      <w:r>
        <w:rPr>
          <w:rFonts w:ascii="Times New Roman" w:eastAsia="Calibri" w:hAnsi="Times New Roman" w:cs="Times New Roman"/>
          <w:noProof/>
          <w:sz w:val="24"/>
          <w:szCs w:val="24"/>
          <w:lang w:eastAsia="en-IE"/>
        </w:rPr>
        <w:t>expanding work on right-wing and left-wing extremist groups.</w:t>
      </w:r>
      <w:r>
        <w:rPr>
          <w:rFonts w:ascii="Times New Roman" w:hAnsi="Times New Roman" w:cs="Times New Roman"/>
          <w:noProof/>
          <w:sz w:val="24"/>
          <w:szCs w:val="24"/>
        </w:rPr>
        <w:t xml:space="preserv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On 30 July 2020, the Council last renewed the EU list of the persons, groups and entities subject to restrictive measures aimed at combating terrorism. The latest list contains 14 persons and 21 entities. On the same day, the Council imposed restrictive measures on one person under the ISIL (Da'esh)/Al-Qaida counter-terrorism sanctions regime. Currently there are five persons autonomously listed under this regime, which was renewed for one year on 19 October 2020.</w:t>
      </w:r>
      <w:r>
        <w:rPr>
          <w:rStyle w:val="FootnoteReference"/>
          <w:rFonts w:ascii="Times New Roman" w:hAnsi="Times New Roman" w:cs="Times New Roman"/>
          <w:noProof/>
          <w:sz w:val="24"/>
          <w:szCs w:val="24"/>
        </w:rPr>
        <w:footnoteReference w:id="102"/>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An important element of counterterrorism policy concerns the threats posed by </w:t>
      </w:r>
      <w:r>
        <w:rPr>
          <w:rFonts w:ascii="Times New Roman" w:hAnsi="Times New Roman" w:cs="Times New Roman"/>
          <w:b/>
          <w:bCs/>
          <w:noProof/>
          <w:sz w:val="24"/>
          <w:szCs w:val="24"/>
        </w:rPr>
        <w:t>foreign terrorist fighters</w:t>
      </w:r>
      <w:r>
        <w:rPr>
          <w:rFonts w:ascii="Times New Roman" w:hAnsi="Times New Roman"/>
          <w:b/>
          <w:bCs/>
          <w:noProof/>
          <w:sz w:val="24"/>
          <w:szCs w:val="24"/>
        </w:rPr>
        <w:t xml:space="preserve"> </w:t>
      </w:r>
      <w:r>
        <w:rPr>
          <w:rFonts w:ascii="Times New Roman" w:hAnsi="Times New Roman" w:cs="Times New Roman"/>
          <w:b/>
          <w:bCs/>
          <w:noProof/>
          <w:sz w:val="24"/>
          <w:szCs w:val="24"/>
        </w:rPr>
        <w:t>(FTFs)</w:t>
      </w:r>
      <w:r>
        <w:rPr>
          <w:rFonts w:ascii="Times New Roman" w:hAnsi="Times New Roman" w:cs="Times New Roman"/>
          <w:noProof/>
          <w:sz w:val="24"/>
          <w:szCs w:val="24"/>
        </w:rPr>
        <w:t xml:space="preserve"> currently in Syria and Iraq. While fully respecting the primary responsibility of Member States over these issues, support and cooperation at EU level helps Member States address common challenges: prosecution of those who have committed terrorist crimes, prevention of undetected entry into the Schengen Area and the reintegration and rehabilitation of returned foreign terrorist fighters. For instance, the Commission is working closely with Member States and key partner countries to ensure that battlefield evidence is shared and used effectively for identification, detection at EU’s borders and prosecution. The </w:t>
      </w:r>
      <w:hyperlink r:id="rId21" w:tgtFrame="_blank" w:history="1">
        <w:r>
          <w:rPr>
            <w:rFonts w:ascii="Times New Roman" w:hAnsi="Times New Roman" w:cs="Times New Roman"/>
            <w:noProof/>
            <w:sz w:val="24"/>
            <w:szCs w:val="24"/>
          </w:rPr>
          <w:t>2020 Memorandum on Battlefield Evidence</w:t>
        </w:r>
      </w:hyperlink>
      <w:r>
        <w:rPr>
          <w:rStyle w:val="FootnoteReference"/>
          <w:rFonts w:ascii="Times New Roman" w:hAnsi="Times New Roman" w:cs="Times New Roman"/>
          <w:noProof/>
          <w:sz w:val="24"/>
          <w:szCs w:val="24"/>
        </w:rPr>
        <w:footnoteReference w:id="103"/>
      </w:r>
      <w:r>
        <w:rPr>
          <w:rFonts w:ascii="Times New Roman" w:hAnsi="Times New Roman" w:cs="Times New Roman"/>
          <w:noProof/>
          <w:sz w:val="24"/>
          <w:szCs w:val="24"/>
        </w:rPr>
        <w:t xml:space="preserve"> published by Eurojust shows that while there are many challenges in obtaining such data and making sure it meets the criteria for admissible evidence, it can help to bring terrorist suspects to justice.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is also facilitating a dialogue with Member States and humanitarian actors to provide a comprehensive and factual overview of the situation in the North East Syrian camps where European FTF family members are located. A particular focus is placed on the situation of </w:t>
      </w:r>
      <w:r>
        <w:rPr>
          <w:rFonts w:ascii="Times New Roman" w:hAnsi="Times New Roman"/>
          <w:noProof/>
          <w:sz w:val="24"/>
          <w:szCs w:val="24"/>
        </w:rPr>
        <w:t>children</w:t>
      </w:r>
      <w:r>
        <w:rPr>
          <w:rFonts w:ascii="Times New Roman" w:hAnsi="Times New Roman" w:cs="Times New Roman"/>
          <w:noProof/>
          <w:sz w:val="24"/>
          <w:szCs w:val="24"/>
        </w:rPr>
        <w:t xml:space="preserve"> in the Syrian camps. The Commission also helps Member States to share experiences about national measures and mechanisms to better manage </w:t>
      </w:r>
      <w:r>
        <w:rPr>
          <w:rFonts w:ascii="Times New Roman" w:hAnsi="Times New Roman" w:cs="Times New Roman"/>
          <w:b/>
          <w:bCs/>
          <w:noProof/>
          <w:sz w:val="24"/>
          <w:szCs w:val="24"/>
        </w:rPr>
        <w:t>the rehabilitation and reintegration</w:t>
      </w:r>
      <w:r>
        <w:rPr>
          <w:rFonts w:ascii="Times New Roman" w:hAnsi="Times New Roman" w:cs="Times New Roman"/>
          <w:noProof/>
          <w:sz w:val="24"/>
          <w:szCs w:val="24"/>
        </w:rPr>
        <w:t xml:space="preserve"> of returning FTFs, as well as children. The Radicalisation Awareness Network also runs study visits and provides tailor made advice to better deal with the challenges of convicted returnees in particular after release from prison, as well as the role of families and of local communities in reintegration efforts.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Counter-terrorism </w:t>
      </w:r>
      <w:r>
        <w:rPr>
          <w:rFonts w:ascii="Times New Roman" w:hAnsi="Times New Roman" w:cs="Times New Roman"/>
          <w:b/>
          <w:bCs/>
          <w:noProof/>
          <w:sz w:val="24"/>
          <w:szCs w:val="24"/>
        </w:rPr>
        <w:t>partnerships and cooperation with third countries</w:t>
      </w:r>
      <w:r>
        <w:rPr>
          <w:rFonts w:ascii="Times New Roman" w:hAnsi="Times New Roman" w:cs="Times New Roman"/>
          <w:noProof/>
          <w:sz w:val="24"/>
          <w:szCs w:val="24"/>
        </w:rPr>
        <w:t xml:space="preserve"> and partners in the EU’s neighbourhood is also essential to improve security inside the EU and to better link the internal and external dimensions of EU security policy.</w:t>
      </w:r>
      <w:r>
        <w:rPr>
          <w:noProof/>
        </w:rPr>
        <w:t xml:space="preserve"> </w:t>
      </w:r>
      <w:r>
        <w:rPr>
          <w:rFonts w:ascii="Times New Roman" w:hAnsi="Times New Roman" w:cs="Times New Roman"/>
          <w:noProof/>
          <w:sz w:val="24"/>
          <w:szCs w:val="24"/>
        </w:rPr>
        <w:t>The Council has called for further strengthening of the EU’s external counter-terrorism engagement</w:t>
      </w:r>
      <w:r>
        <w:rPr>
          <w:rStyle w:val="FootnoteReference"/>
          <w:rFonts w:ascii="Times New Roman" w:hAnsi="Times New Roman" w:cs="Times New Roman"/>
          <w:noProof/>
          <w:sz w:val="24"/>
          <w:szCs w:val="24"/>
        </w:rPr>
        <w:footnoteReference w:id="104"/>
      </w:r>
      <w:r>
        <w:rPr>
          <w:rFonts w:ascii="Times New Roman" w:hAnsi="Times New Roman" w:cs="Times New Roman"/>
          <w:noProof/>
          <w:sz w:val="24"/>
          <w:szCs w:val="24"/>
        </w:rPr>
        <w:t xml:space="preserve"> with a focus on the Western Balkans, North Africa and the Middle East, the Sahel region, the Horn of Africa and Asia. This work is taken forward making full use of external action tools, including high-level counter-terrorism dialogues and the network of 17 </w:t>
      </w:r>
      <w:r>
        <w:rPr>
          <w:rFonts w:ascii="Times New Roman" w:hAnsi="Times New Roman" w:cs="Times New Roman"/>
          <w:b/>
          <w:bCs/>
          <w:noProof/>
          <w:sz w:val="24"/>
          <w:szCs w:val="24"/>
        </w:rPr>
        <w:t xml:space="preserve">counter-terrorism/Security </w:t>
      </w:r>
      <w:r>
        <w:rPr>
          <w:rFonts w:ascii="Times New Roman" w:hAnsi="Times New Roman" w:cs="Times New Roman"/>
          <w:b/>
          <w:bCs/>
          <w:noProof/>
          <w:sz w:val="24"/>
          <w:szCs w:val="24"/>
        </w:rPr>
        <w:lastRenderedPageBreak/>
        <w:t>experts</w:t>
      </w:r>
      <w:r>
        <w:rPr>
          <w:rStyle w:val="FootnoteReference"/>
          <w:rFonts w:ascii="Times New Roman" w:hAnsi="Times New Roman" w:cs="Times New Roman"/>
          <w:noProof/>
          <w:sz w:val="24"/>
          <w:szCs w:val="24"/>
        </w:rPr>
        <w:footnoteReference w:id="105"/>
      </w:r>
      <w:r>
        <w:rPr>
          <w:rFonts w:ascii="Times New Roman" w:hAnsi="Times New Roman" w:cs="Times New Roman"/>
          <w:noProof/>
          <w:sz w:val="24"/>
          <w:szCs w:val="24"/>
        </w:rPr>
        <w:t xml:space="preserve"> deployed in EU Delegations which has continued to provide support, facilitating cooperation and promoting capacity building. A reflection on the possibility to strengthen and to expand this network is currently ongoing.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2018 Joint Action Plan on Counter-terrorism for the </w:t>
      </w:r>
      <w:r>
        <w:rPr>
          <w:rFonts w:ascii="Times New Roman" w:hAnsi="Times New Roman" w:cs="Times New Roman"/>
          <w:b/>
          <w:bCs/>
          <w:noProof/>
          <w:sz w:val="24"/>
          <w:szCs w:val="24"/>
        </w:rPr>
        <w:t>Western Balkans</w:t>
      </w:r>
      <w:r>
        <w:rPr>
          <w:rFonts w:ascii="Times New Roman" w:hAnsi="Times New Roman" w:cs="Times New Roman"/>
          <w:noProof/>
          <w:sz w:val="24"/>
          <w:szCs w:val="24"/>
        </w:rPr>
        <w:t xml:space="preserve"> and the accompanying bilateral arrangements signed in 2019 with each partner</w:t>
      </w:r>
      <w:r>
        <w:rPr>
          <w:rStyle w:val="FootnoteReference"/>
          <w:rFonts w:ascii="Times New Roman" w:hAnsi="Times New Roman" w:cs="Times New Roman"/>
          <w:noProof/>
          <w:sz w:val="24"/>
          <w:szCs w:val="24"/>
        </w:rPr>
        <w:footnoteReference w:id="106"/>
      </w:r>
      <w:r>
        <w:rPr>
          <w:rFonts w:ascii="Times New Roman" w:hAnsi="Times New Roman" w:cs="Times New Roman"/>
          <w:noProof/>
          <w:sz w:val="24"/>
          <w:szCs w:val="24"/>
        </w:rPr>
        <w:t xml:space="preserve"> provide a focus on a region of key significance for common security objectives and for the protection of people living in the EU. At the EU-Western Balkans Ministerial Forum on Justice and Home Affairs on 22 October 2020, the EU and the Western Balkans partners reaffirmed their commitment to implementing the Joint Action Plan’s objectives beyond 2020.</w:t>
      </w:r>
      <w:r>
        <w:rPr>
          <w:rStyle w:val="FootnoteReference"/>
          <w:rFonts w:ascii="Times New Roman" w:hAnsi="Times New Roman" w:cs="Times New Roman"/>
          <w:noProof/>
          <w:sz w:val="24"/>
          <w:szCs w:val="24"/>
        </w:rPr>
        <w:footnoteReference w:id="107"/>
      </w:r>
      <w:r>
        <w:rPr>
          <w:rFonts w:ascii="Times New Roman" w:hAnsi="Times New Roman" w:cs="Times New Roman"/>
          <w:noProof/>
          <w:sz w:val="24"/>
          <w:szCs w:val="24"/>
        </w:rPr>
        <w:t xml:space="preserve"> Cooperation with the Western Balkans includes managing the ongoing return of FTFs and their family members as well as a further integration into anti-radicalisation activities. The EU also maintains a regular engagement on counter-terrorism with the </w:t>
      </w:r>
      <w:r>
        <w:rPr>
          <w:rFonts w:ascii="Times New Roman" w:hAnsi="Times New Roman" w:cs="Times New Roman"/>
          <w:b/>
          <w:bCs/>
          <w:noProof/>
          <w:sz w:val="24"/>
          <w:szCs w:val="24"/>
        </w:rPr>
        <w:t>Middle East, North Africa and Central Asia</w:t>
      </w:r>
      <w:r>
        <w:rPr>
          <w:rStyle w:val="FootnoteReference"/>
          <w:rFonts w:ascii="Times New Roman" w:hAnsi="Times New Roman" w:cs="Times New Roman"/>
          <w:noProof/>
          <w:sz w:val="24"/>
          <w:szCs w:val="24"/>
        </w:rPr>
        <w:footnoteReference w:id="108"/>
      </w:r>
      <w:r>
        <w:rPr>
          <w:rFonts w:ascii="Times New Roman" w:hAnsi="Times New Roman" w:cs="Times New Roman"/>
          <w:noProof/>
          <w:sz w:val="24"/>
          <w:szCs w:val="24"/>
        </w:rPr>
        <w:t>.</w:t>
      </w:r>
      <w:r>
        <w:rPr>
          <w:noProof/>
          <w:sz w:val="23"/>
          <w:szCs w:val="23"/>
        </w:rPr>
        <w:t xml:space="preserve"> </w:t>
      </w:r>
      <w:r>
        <w:rPr>
          <w:rFonts w:ascii="Times New Roman" w:hAnsi="Times New Roman"/>
          <w:noProof/>
          <w:sz w:val="24"/>
        </w:rPr>
        <w:t>Work with</w:t>
      </w:r>
      <w:r>
        <w:rPr>
          <w:noProof/>
          <w:sz w:val="23"/>
          <w:szCs w:val="23"/>
        </w:rPr>
        <w:t xml:space="preserve"> </w:t>
      </w:r>
      <w:r>
        <w:rPr>
          <w:rFonts w:ascii="Times New Roman" w:hAnsi="Times New Roman" w:cs="Times New Roman"/>
          <w:b/>
          <w:bCs/>
          <w:noProof/>
          <w:sz w:val="24"/>
          <w:szCs w:val="24"/>
        </w:rPr>
        <w:t>Central Asia</w:t>
      </w:r>
      <w:r>
        <w:rPr>
          <w:rFonts w:ascii="Times New Roman" w:hAnsi="Times New Roman" w:cs="Times New Roman"/>
          <w:noProof/>
          <w:sz w:val="24"/>
          <w:szCs w:val="24"/>
        </w:rPr>
        <w:t xml:space="preserve"> has focused on addressing chemical, biological, radiological and nuclear threats. The </w:t>
      </w:r>
      <w:r>
        <w:rPr>
          <w:rFonts w:ascii="Times New Roman" w:hAnsi="Times New Roman" w:cs="Times New Roman"/>
          <w:b/>
          <w:bCs/>
          <w:noProof/>
          <w:sz w:val="24"/>
          <w:szCs w:val="24"/>
        </w:rPr>
        <w:t>EU-Gulf Cooperation Council</w:t>
      </w:r>
      <w:r>
        <w:rPr>
          <w:rFonts w:ascii="Times New Roman" w:hAnsi="Times New Roman"/>
          <w:b/>
          <w:bCs/>
          <w:noProof/>
          <w:sz w:val="24"/>
          <w:szCs w:val="24"/>
        </w:rPr>
        <w:t xml:space="preserve"> </w:t>
      </w:r>
      <w:r>
        <w:rPr>
          <w:rFonts w:ascii="Times New Roman" w:hAnsi="Times New Roman" w:cs="Times New Roman"/>
          <w:noProof/>
          <w:sz w:val="24"/>
          <w:szCs w:val="24"/>
        </w:rPr>
        <w:t>Joint Cooperation Committee met on 25 June 2020 and covered issues including countering radicalisation and tackling financing of terrorism and anti-money laundering, as well as cybersecurity and cooperation with Europol. The EU worked with NATO on a first-ever audit on chemical, biological, radiological and nuclear threats in one of the Gulf countries in late 2019. Overall, at the end of 2019, some €465 million was devoted to on-going projects on counter-terrorism and the prevention of violent extremism outside the EU, a 15% increase from the previous year.</w:t>
      </w:r>
    </w:p>
    <w:p w:rsidR="00872751" w:rsidRDefault="008477BD">
      <w:pPr>
        <w:spacing w:before="120" w:after="240" w:line="240" w:lineRule="auto"/>
        <w:jc w:val="both"/>
        <w:rPr>
          <w:noProof/>
          <w:color w:val="FF0000"/>
        </w:rPr>
      </w:pPr>
      <w:r>
        <w:rPr>
          <w:rFonts w:ascii="Times New Roman" w:hAnsi="Times New Roman" w:cs="Times New Roman"/>
          <w:noProof/>
          <w:sz w:val="24"/>
          <w:szCs w:val="24"/>
        </w:rPr>
        <w:t xml:space="preserve">The EU has also continued to deepen cooperation with the </w:t>
      </w:r>
      <w:r>
        <w:rPr>
          <w:rFonts w:ascii="Times New Roman" w:hAnsi="Times New Roman" w:cs="Times New Roman"/>
          <w:b/>
          <w:bCs/>
          <w:noProof/>
          <w:sz w:val="24"/>
          <w:szCs w:val="24"/>
        </w:rPr>
        <w:t>United Nations</w:t>
      </w:r>
      <w:r>
        <w:rPr>
          <w:rFonts w:ascii="Times New Roman" w:hAnsi="Times New Roman" w:cs="Times New Roman"/>
          <w:noProof/>
          <w:sz w:val="24"/>
          <w:szCs w:val="24"/>
        </w:rPr>
        <w:t xml:space="preserve"> on counter-terrorism</w:t>
      </w:r>
      <w:r>
        <w:rPr>
          <w:rStyle w:val="FootnoteReference"/>
          <w:rFonts w:ascii="Times New Roman" w:hAnsi="Times New Roman" w:cs="Times New Roman"/>
          <w:noProof/>
          <w:sz w:val="24"/>
          <w:szCs w:val="24"/>
        </w:rPr>
        <w:footnoteReference w:id="109"/>
      </w:r>
      <w:r>
        <w:rPr>
          <w:rFonts w:ascii="Times New Roman" w:hAnsi="Times New Roman" w:cs="Times New Roman"/>
          <w:noProof/>
          <w:sz w:val="24"/>
          <w:szCs w:val="24"/>
        </w:rPr>
        <w:t>, notably with the UN Office of Counter-Terrorism and the Counter-Terrorism executive directorate, including though annual high-level dialogues and most recently through active participation in the virtual UN counter-terrorism week in summer 2020.</w:t>
      </w:r>
      <w:r>
        <w:rPr>
          <w:noProof/>
          <w:color w:val="FF0000"/>
        </w:rPr>
        <w:t xml:space="preserve"> </w:t>
      </w:r>
      <w:r>
        <w:rPr>
          <w:rFonts w:ascii="Times New Roman" w:hAnsi="Times New Roman" w:cs="Times New Roman"/>
          <w:noProof/>
          <w:sz w:val="24"/>
          <w:szCs w:val="24"/>
        </w:rPr>
        <w:t xml:space="preserve">The Commission has also closely followed the deliberations on a revision of the definition of terrorist offences in the </w:t>
      </w:r>
      <w:r>
        <w:rPr>
          <w:rFonts w:ascii="Times New Roman" w:hAnsi="Times New Roman" w:cs="Times New Roman"/>
          <w:b/>
          <w:bCs/>
          <w:noProof/>
          <w:sz w:val="24"/>
          <w:szCs w:val="24"/>
        </w:rPr>
        <w:t>Council of Europe</w:t>
      </w:r>
      <w:r>
        <w:rPr>
          <w:rFonts w:ascii="Times New Roman" w:hAnsi="Times New Roman" w:cs="Times New Roman"/>
          <w:noProof/>
          <w:sz w:val="24"/>
          <w:szCs w:val="24"/>
        </w:rPr>
        <w:t xml:space="preserve">’s Convention on the prevention of terrorism, encouraging close alignment with definitions in EU law. Good cooperation continued in the area of counter-terrorism and chemical, biological, radiological and nuclear materials between </w:t>
      </w:r>
      <w:r>
        <w:rPr>
          <w:rFonts w:ascii="Times New Roman" w:hAnsi="Times New Roman" w:cs="Times New Roman"/>
          <w:b/>
          <w:bCs/>
          <w:noProof/>
          <w:sz w:val="24"/>
          <w:szCs w:val="24"/>
        </w:rPr>
        <w:t xml:space="preserve">NATO </w:t>
      </w:r>
      <w:r>
        <w:rPr>
          <w:rFonts w:ascii="Times New Roman" w:hAnsi="Times New Roman" w:cs="Times New Roman"/>
          <w:noProof/>
          <w:sz w:val="24"/>
          <w:szCs w:val="24"/>
        </w:rPr>
        <w:t xml:space="preserve">and the EU, exchanging information on capacity-building to avoid duplication and ensure complementarity. </w:t>
      </w:r>
    </w:p>
    <w:p w:rsidR="00872751" w:rsidRDefault="008477BD">
      <w:pPr>
        <w:pStyle w:val="ListParagraph"/>
        <w:numPr>
          <w:ilvl w:val="0"/>
          <w:numId w:val="2"/>
        </w:numPr>
        <w:spacing w:after="120" w:line="240" w:lineRule="auto"/>
        <w:contextualSpacing w:val="0"/>
        <w:jc w:val="both"/>
        <w:rPr>
          <w:rFonts w:ascii="Times New Roman" w:hAnsi="Times New Roman"/>
          <w:b/>
          <w:i/>
          <w:noProof/>
          <w:sz w:val="24"/>
        </w:rPr>
      </w:pPr>
      <w:r>
        <w:rPr>
          <w:rFonts w:ascii="Times New Roman" w:hAnsi="Times New Roman" w:cs="Times New Roman"/>
          <w:b/>
          <w:bCs/>
          <w:i/>
          <w:iCs/>
          <w:noProof/>
          <w:sz w:val="24"/>
          <w:szCs w:val="24"/>
        </w:rPr>
        <w:t>Fighting organised crime</w:t>
      </w:r>
    </w:p>
    <w:p w:rsidR="00872751" w:rsidRDefault="008477BD">
      <w:pPr>
        <w:pStyle w:val="Default"/>
        <w:spacing w:after="120"/>
        <w:jc w:val="both"/>
        <w:rPr>
          <w:rFonts w:ascii="Times New Roman" w:hAnsi="Times New Roman" w:cs="Times New Roman"/>
          <w:noProof/>
        </w:rPr>
      </w:pPr>
      <w:r>
        <w:rPr>
          <w:rFonts w:ascii="Times New Roman" w:hAnsi="Times New Roman" w:cs="Times New Roman"/>
          <w:noProof/>
        </w:rPr>
        <w:t xml:space="preserve">Organised crime is rising, becoming ever-more cross-border, and moving online. </w:t>
      </w:r>
    </w:p>
    <w:p w:rsidR="00872751" w:rsidRDefault="008477BD">
      <w:pPr>
        <w:spacing w:after="120" w:line="240" w:lineRule="auto"/>
        <w:jc w:val="right"/>
        <w:rPr>
          <w:rFonts w:ascii="Times New Roman" w:hAnsi="Times New Roman" w:cs="Times New Roman"/>
          <w:noProof/>
          <w:sz w:val="24"/>
          <w:szCs w:val="24"/>
        </w:rPr>
      </w:pPr>
      <w:r>
        <w:rPr>
          <w:noProof/>
          <w:lang w:val="en-GB" w:eastAsia="en-GB"/>
        </w:rPr>
        <w:lastRenderedPageBreak/>
        <w:drawing>
          <wp:inline distT="0" distB="0" distL="0" distR="0">
            <wp:extent cx="1849942" cy="2035821"/>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apture10.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49942" cy="2035821"/>
                    </a:xfrm>
                    <a:prstGeom prst="rect">
                      <a:avLst/>
                    </a:prstGeom>
                  </pic:spPr>
                </pic:pic>
              </a:graphicData>
            </a:graphic>
          </wp:inline>
        </w:drawing>
      </w:r>
      <w:r>
        <w:rPr>
          <w:rFonts w:ascii="Times New Roman" w:hAnsi="Times New Roman" w:cs="Times New Roman"/>
          <w:noProof/>
          <w:sz w:val="24"/>
          <w:szCs w:val="24"/>
        </w:rPr>
        <w:t xml:space="preserve"> </w:t>
      </w:r>
      <w:r>
        <w:rPr>
          <w:noProof/>
          <w:lang w:val="en-GB" w:eastAsia="en-GB"/>
        </w:rPr>
        <w:drawing>
          <wp:inline distT="0" distB="0" distL="0" distR="0">
            <wp:extent cx="2627711" cy="2009357"/>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ture7.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27711" cy="2009357"/>
                    </a:xfrm>
                    <a:prstGeom prst="rect">
                      <a:avLst/>
                    </a:prstGeom>
                  </pic:spPr>
                </pic:pic>
              </a:graphicData>
            </a:graphic>
          </wp:inline>
        </w:drawing>
      </w:r>
    </w:p>
    <w:p w:rsidR="00872751" w:rsidRDefault="008477BD">
      <w:pPr>
        <w:spacing w:after="120" w:line="240" w:lineRule="auto"/>
        <w:jc w:val="center"/>
        <w:rPr>
          <w:noProof/>
        </w:rPr>
      </w:pPr>
      <w:r>
        <w:rPr>
          <w:i/>
          <w:iCs/>
          <w:noProof/>
          <w:lang w:val="en-IE"/>
        </w:rPr>
        <w:t>Europol, Serious and Organised Threat Assessment (SOCTA 2017)</w:t>
      </w:r>
    </w:p>
    <w:p w:rsidR="00872751" w:rsidRDefault="008477BD">
      <w:pPr>
        <w:pStyle w:val="Default"/>
        <w:spacing w:before="240" w:after="120"/>
        <w:jc w:val="both"/>
        <w:rPr>
          <w:rFonts w:ascii="Verdana" w:hAnsi="Verdana" w:cs="Verdana"/>
          <w:noProof/>
          <w:sz w:val="20"/>
          <w:szCs w:val="20"/>
        </w:rPr>
      </w:pPr>
      <w:r>
        <w:rPr>
          <w:rFonts w:ascii="Times New Roman" w:hAnsi="Times New Roman" w:cs="Times New Roman"/>
          <w:noProof/>
        </w:rPr>
        <w:t>Commission action has included the fight against drugs, illegal firearms, financial crime, illegal import of cultural goods, human trafficking or environmental crime, supporting Member States law enforcement and judicial authorities in Member States as well as partners in the neighbourhood.</w:t>
      </w:r>
      <w:r>
        <w:rPr>
          <w:rFonts w:ascii="Verdana" w:hAnsi="Verdana" w:cs="Verdana"/>
          <w:noProof/>
          <w:sz w:val="20"/>
          <w:szCs w:val="20"/>
        </w:rPr>
        <w:t xml:space="preserve"> </w:t>
      </w:r>
      <w:r>
        <w:rPr>
          <w:rFonts w:ascii="Times New Roman" w:hAnsi="Times New Roman" w:cs="Times New Roman"/>
          <w:noProof/>
        </w:rPr>
        <w:t>Cooperation with third countries, in particular in the neighbourhood such as the Western Balkans, and international organisations, including the United Nations’ Office on drugs and crime</w:t>
      </w:r>
      <w:r>
        <w:rPr>
          <w:rStyle w:val="FootnoteReference"/>
          <w:rFonts w:ascii="Times New Roman" w:hAnsi="Times New Roman" w:cs="Times New Roman"/>
          <w:noProof/>
        </w:rPr>
        <w:footnoteReference w:id="110"/>
      </w:r>
      <w:r>
        <w:rPr>
          <w:rFonts w:ascii="Times New Roman" w:hAnsi="Times New Roman" w:cs="Times New Roman"/>
          <w:noProof/>
        </w:rPr>
        <w:t>, were also key</w:t>
      </w:r>
      <w:r>
        <w:rPr>
          <w:rFonts w:ascii="Times New Roman" w:hAnsi="Times New Roman" w:cs="Times New Roman"/>
          <w:noProof/>
          <w:lang w:eastAsia="en-GB"/>
        </w:rPr>
        <w:t>.</w:t>
      </w:r>
      <w:r>
        <w:rPr>
          <w:rStyle w:val="FootnoteReference"/>
          <w:rFonts w:ascii="Times New Roman" w:hAnsi="Times New Roman" w:cs="Times New Roman"/>
          <w:noProof/>
          <w:lang w:eastAsia="en-GB"/>
        </w:rPr>
        <w:footnoteReference w:id="111"/>
      </w:r>
    </w:p>
    <w:p w:rsidR="00872751" w:rsidRDefault="008477BD">
      <w:pPr>
        <w:pStyle w:val="Default"/>
        <w:spacing w:after="120"/>
        <w:jc w:val="both"/>
        <w:rPr>
          <w:rFonts w:ascii="Times New Roman" w:hAnsi="Times New Roman" w:cs="Times New Roman"/>
          <w:noProof/>
        </w:rPr>
      </w:pPr>
      <w:r>
        <w:rPr>
          <w:rFonts w:ascii="Times New Roman" w:hAnsi="Times New Roman" w:cs="Times New Roman"/>
          <w:noProof/>
        </w:rPr>
        <w:t>In 2019,</w:t>
      </w:r>
      <w:r>
        <w:rPr>
          <w:rFonts w:ascii="Verdana" w:hAnsi="Verdana" w:cs="Verdana"/>
          <w:noProof/>
          <w:sz w:val="20"/>
          <w:szCs w:val="20"/>
        </w:rPr>
        <w:t xml:space="preserve"> </w:t>
      </w:r>
      <w:r>
        <w:rPr>
          <w:rFonts w:ascii="Times New Roman" w:hAnsi="Times New Roman" w:cs="Times New Roman"/>
          <w:b/>
          <w:bCs/>
          <w:noProof/>
        </w:rPr>
        <w:t>Europol Serious and Organised Crime Centre</w:t>
      </w:r>
      <w:r>
        <w:rPr>
          <w:rFonts w:ascii="Times New Roman" w:hAnsi="Times New Roman" w:cs="Times New Roman"/>
          <w:noProof/>
        </w:rPr>
        <w:t xml:space="preserve"> received and processed almost 55,000 operational contributions, which represents an increase of 12% compared to 2018. With regards to the number of operations supported, the centre assisted countries in 726 cases</w:t>
      </w:r>
      <w:r>
        <w:rPr>
          <w:rStyle w:val="FootnoteReference"/>
          <w:rFonts w:ascii="Times New Roman" w:hAnsi="Times New Roman" w:cs="Times New Roman"/>
          <w:noProof/>
        </w:rPr>
        <w:footnoteReference w:id="112"/>
      </w:r>
      <w:r>
        <w:rPr>
          <w:rFonts w:ascii="Times New Roman" w:hAnsi="Times New Roman" w:cs="Times New Roman"/>
          <w:noProof/>
        </w:rPr>
        <w:t>. It is also crucial that the EU’s legislative framework on organised crime</w:t>
      </w:r>
      <w:r>
        <w:rPr>
          <w:rStyle w:val="FootnoteReference"/>
          <w:rFonts w:ascii="Times New Roman" w:hAnsi="Times New Roman" w:cs="Times New Roman"/>
          <w:noProof/>
          <w:sz w:val="20"/>
          <w:szCs w:val="20"/>
        </w:rPr>
        <w:footnoteReference w:id="113"/>
      </w:r>
      <w:r>
        <w:rPr>
          <w:rFonts w:ascii="Times New Roman" w:hAnsi="Times New Roman" w:cs="Times New Roman"/>
          <w:noProof/>
        </w:rPr>
        <w:t xml:space="preserve">, which seeks to harmonise Member State's laws on the criminalisation of offences linked to participation in a criminal organisation, and lays down penalties for these offences, is fully transposed in all Member States. The Commission has launched a study to analyse ways to enhance this legislation. Further steps on stepping up the fight against organised crime in the EU will be drawn together in the EU Agenda to tackle organised crime to be adopted in the first quarter of 2021. </w:t>
      </w:r>
    </w:p>
    <w:p w:rsidR="00872751" w:rsidRDefault="008477BD">
      <w:pPr>
        <w:pStyle w:val="Default"/>
        <w:spacing w:after="120"/>
        <w:jc w:val="both"/>
        <w:rPr>
          <w:rFonts w:ascii="Times New Roman" w:hAnsi="Times New Roman" w:cs="Times New Roman"/>
          <w:noProof/>
        </w:rPr>
      </w:pPr>
      <w:r>
        <w:rPr>
          <w:rFonts w:ascii="Times New Roman" w:hAnsi="Times New Roman" w:cs="Times New Roman"/>
          <w:noProof/>
        </w:rPr>
        <w:t xml:space="preserve">The freezing and the confiscation of proceeds of crime are among the most effective means of combatting organised crime. The new </w:t>
      </w:r>
      <w:r>
        <w:rPr>
          <w:rFonts w:ascii="Times New Roman" w:hAnsi="Times New Roman" w:cs="Times New Roman"/>
          <w:b/>
          <w:bCs/>
          <w:noProof/>
          <w:color w:val="202124"/>
          <w:shd w:val="clear" w:color="auto" w:fill="FFFFFF"/>
        </w:rPr>
        <w:t xml:space="preserve">European Financial and </w:t>
      </w:r>
      <w:r>
        <w:rPr>
          <w:rFonts w:ascii="Times New Roman" w:hAnsi="Times New Roman" w:cs="Times New Roman"/>
          <w:b/>
          <w:bCs/>
          <w:noProof/>
          <w:color w:val="202124"/>
        </w:rPr>
        <w:t>Economic Crime Centre</w:t>
      </w:r>
      <w:r>
        <w:rPr>
          <w:rFonts w:ascii="Times New Roman" w:hAnsi="Times New Roman" w:cs="Times New Roman"/>
          <w:noProof/>
          <w:color w:val="202124"/>
          <w:shd w:val="clear" w:color="auto" w:fill="FFFFFF"/>
        </w:rPr>
        <w:t xml:space="preserve"> (EFECC) established in June 2020 at Europol will enhance the operational support provided to Member States and EU bodies in the fields of financial and </w:t>
      </w:r>
      <w:r>
        <w:rPr>
          <w:rFonts w:ascii="Times New Roman" w:hAnsi="Times New Roman" w:cs="Times New Roman"/>
          <w:noProof/>
          <w:color w:val="202124"/>
        </w:rPr>
        <w:t>economic crime</w:t>
      </w:r>
      <w:r>
        <w:rPr>
          <w:rFonts w:ascii="Times New Roman" w:hAnsi="Times New Roman" w:cs="Times New Roman"/>
          <w:noProof/>
          <w:color w:val="202124"/>
          <w:shd w:val="clear" w:color="auto" w:fill="FFFFFF"/>
        </w:rPr>
        <w:t xml:space="preserve"> and promote the systematic use of financial investigations. Supporting EU efforts on </w:t>
      </w:r>
      <w:r>
        <w:rPr>
          <w:rFonts w:ascii="Times New Roman" w:hAnsi="Times New Roman" w:cs="Times New Roman"/>
          <w:noProof/>
        </w:rPr>
        <w:t>more effective identification, freezing and confiscation of criminal assets, t</w:t>
      </w:r>
      <w:r>
        <w:rPr>
          <w:rFonts w:ascii="Times New Roman" w:hAnsi="Times New Roman" w:cs="Times New Roman"/>
          <w:noProof/>
          <w:color w:val="202124"/>
          <w:shd w:val="clear" w:color="auto" w:fill="FFFFFF"/>
        </w:rPr>
        <w:t xml:space="preserve">he Council </w:t>
      </w:r>
      <w:r>
        <w:rPr>
          <w:rFonts w:ascii="Times New Roman" w:hAnsi="Times New Roman" w:cs="Times New Roman"/>
          <w:noProof/>
        </w:rPr>
        <w:t>adopted Conclusions in June 2020 on enhancing financial investigations to fight serious and organised crime.</w:t>
      </w:r>
      <w:r>
        <w:rPr>
          <w:rStyle w:val="FootnoteReference"/>
          <w:rFonts w:ascii="Times New Roman" w:hAnsi="Times New Roman" w:cs="Times New Roman"/>
          <w:noProof/>
        </w:rPr>
        <w:footnoteReference w:id="114"/>
      </w:r>
      <w:r>
        <w:rPr>
          <w:rFonts w:ascii="Times New Roman" w:hAnsi="Times New Roman" w:cs="Times New Roman"/>
          <w:noProof/>
        </w:rPr>
        <w:t xml:space="preserve"> In 2021, the Commission will review legislation on freezing and confiscation the proceeds of crime</w:t>
      </w:r>
      <w:r>
        <w:rPr>
          <w:rStyle w:val="FootnoteReference"/>
          <w:rFonts w:ascii="Times New Roman" w:hAnsi="Times New Roman" w:cs="Times New Roman"/>
          <w:noProof/>
        </w:rPr>
        <w:footnoteReference w:id="115"/>
      </w:r>
      <w:r>
        <w:rPr>
          <w:rFonts w:ascii="Times New Roman" w:hAnsi="Times New Roman" w:cs="Times New Roman"/>
          <w:noProof/>
        </w:rPr>
        <w:t xml:space="preserve"> and on Asset Recovery Offices.</w:t>
      </w:r>
      <w:r>
        <w:rPr>
          <w:rStyle w:val="FootnoteReference"/>
          <w:rFonts w:ascii="Times New Roman" w:hAnsi="Times New Roman" w:cs="Times New Roman"/>
          <w:noProof/>
        </w:rPr>
        <w:footnoteReference w:id="116"/>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fight against organised crime needs safeguards to ensure the work of law enforcement can operate effectively within essential boundaries, such as the protection of personal data. </w:t>
      </w:r>
      <w:r>
        <w:rPr>
          <w:rFonts w:ascii="Times New Roman" w:hAnsi="Times New Roman" w:cs="Times New Roman"/>
          <w:noProof/>
          <w:sz w:val="24"/>
          <w:szCs w:val="24"/>
        </w:rPr>
        <w:lastRenderedPageBreak/>
        <w:t>The 2016 Data Protection Law Enforcement Directive</w:t>
      </w:r>
      <w:r>
        <w:rPr>
          <w:noProof/>
        </w:rPr>
        <w:t xml:space="preserve"> </w:t>
      </w:r>
      <w:r>
        <w:rPr>
          <w:rFonts w:ascii="Times New Roman" w:hAnsi="Times New Roman" w:cs="Times New Roman"/>
          <w:noProof/>
          <w:sz w:val="24"/>
          <w:szCs w:val="24"/>
        </w:rPr>
        <w:t>on the protection of natural persons regarding processing of personal data connected with criminal offences</w:t>
      </w:r>
      <w:r>
        <w:rPr>
          <w:rStyle w:val="FootnoteReference"/>
          <w:rFonts w:ascii="Times New Roman" w:hAnsi="Times New Roman" w:cs="Times New Roman"/>
          <w:noProof/>
          <w:sz w:val="24"/>
          <w:szCs w:val="24"/>
        </w:rPr>
        <w:footnoteReference w:id="117"/>
      </w:r>
      <w:r>
        <w:rPr>
          <w:rFonts w:ascii="Times New Roman" w:hAnsi="Times New Roman" w:cs="Times New Roman"/>
          <w:noProof/>
          <w:sz w:val="24"/>
          <w:szCs w:val="24"/>
        </w:rPr>
        <w:t> protects fundamental right to data protection whenever personal data is used by criminal law enforcement authorities for law enforcement purposes. It ensures that the personal data of victims, witnesses, and suspects of crime are duly protected and facilitates cross-border cooperation in the fight against crime and terrorism. The deadline for the transposition of the Data Protection Law Enforcement Directive expired on 6 May 2018. To date, most Member States have adopted legislation transposing the Directive. However, some infringement procedures are still ongoing</w:t>
      </w:r>
      <w:r>
        <w:rPr>
          <w:rStyle w:val="FootnoteReference"/>
          <w:rFonts w:ascii="Times New Roman" w:hAnsi="Times New Roman" w:cs="Times New Roman"/>
          <w:noProof/>
          <w:sz w:val="24"/>
          <w:szCs w:val="24"/>
        </w:rPr>
        <w:footnoteReference w:id="118"/>
      </w:r>
      <w:r>
        <w:rPr>
          <w:rFonts w:ascii="Times New Roman" w:hAnsi="Times New Roman" w:cs="Times New Roman"/>
          <w:noProof/>
          <w:sz w:val="24"/>
          <w:szCs w:val="24"/>
        </w:rPr>
        <w:t>. The Commission is currently assessing the conformity of national transposing laws with the Directive.</w:t>
      </w:r>
    </w:p>
    <w:p w:rsidR="00872751" w:rsidRDefault="008477BD">
      <w:pPr>
        <w:spacing w:after="120" w:line="240" w:lineRule="auto"/>
        <w:jc w:val="both"/>
        <w:rPr>
          <w:rFonts w:ascii="Times New Roman" w:hAnsi="Times New Roman"/>
          <w:i/>
          <w:noProof/>
          <w:sz w:val="24"/>
        </w:rPr>
      </w:pPr>
      <w:r>
        <w:rPr>
          <w:rFonts w:ascii="Times New Roman" w:hAnsi="Times New Roman" w:cs="Times New Roman"/>
          <w:i/>
          <w:iCs/>
          <w:noProof/>
          <w:sz w:val="24"/>
          <w:szCs w:val="24"/>
        </w:rPr>
        <w:t xml:space="preserve">Fight against illegal drugs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adopted in July 2020 a new </w:t>
      </w:r>
      <w:r>
        <w:rPr>
          <w:rFonts w:ascii="Times New Roman" w:hAnsi="Times New Roman" w:cs="Times New Roman"/>
          <w:b/>
          <w:bCs/>
          <w:noProof/>
          <w:sz w:val="24"/>
          <w:szCs w:val="24"/>
        </w:rPr>
        <w:t>EU Agenda and Action Plan on Drugs 2021-2025</w:t>
      </w:r>
      <w:r>
        <w:rPr>
          <w:rStyle w:val="FootnoteReference"/>
          <w:rFonts w:ascii="Times New Roman" w:hAnsi="Times New Roman" w:cs="Times New Roman"/>
          <w:noProof/>
          <w:sz w:val="24"/>
          <w:szCs w:val="24"/>
        </w:rPr>
        <w:footnoteReference w:id="119"/>
      </w:r>
      <w:r>
        <w:rPr>
          <w:rFonts w:ascii="Times New Roman" w:hAnsi="Times New Roman" w:cs="Times New Roman"/>
          <w:noProof/>
          <w:sz w:val="24"/>
          <w:szCs w:val="24"/>
        </w:rPr>
        <w:t>, following on the current</w:t>
      </w:r>
      <w:r>
        <w:rPr>
          <w:rFonts w:ascii="Times New Roman" w:hAnsi="Times New Roman" w:cs="Times New Roman"/>
          <w:b/>
          <w:bCs/>
          <w:noProof/>
          <w:sz w:val="24"/>
          <w:szCs w:val="24"/>
        </w:rPr>
        <w:t xml:space="preserve"> </w:t>
      </w:r>
      <w:r>
        <w:rPr>
          <w:rFonts w:ascii="Times New Roman" w:hAnsi="Times New Roman" w:cs="Times New Roman"/>
          <w:noProof/>
          <w:sz w:val="24"/>
          <w:szCs w:val="24"/>
        </w:rPr>
        <w:t>EU drugs strategies</w:t>
      </w:r>
      <w:r>
        <w:rPr>
          <w:rStyle w:val="FootnoteReference"/>
          <w:rFonts w:ascii="Times New Roman" w:hAnsi="Times New Roman" w:cs="Times New Roman"/>
          <w:noProof/>
          <w:sz w:val="24"/>
          <w:szCs w:val="24"/>
        </w:rPr>
        <w:footnoteReference w:id="120"/>
      </w:r>
      <w:r>
        <w:rPr>
          <w:rFonts w:ascii="Times New Roman" w:hAnsi="Times New Roman" w:cs="Times New Roman"/>
          <w:b/>
          <w:bCs/>
          <w:noProof/>
          <w:sz w:val="24"/>
          <w:szCs w:val="24"/>
        </w:rPr>
        <w:t>.</w:t>
      </w:r>
      <w:r>
        <w:rPr>
          <w:rFonts w:ascii="Times New Roman" w:hAnsi="Times New Roman" w:cs="Times New Roman"/>
          <w:noProof/>
          <w:sz w:val="24"/>
          <w:szCs w:val="24"/>
        </w:rPr>
        <w:t xml:space="preserve"> This sets out the political framework and priorities for action in the next five years. The main focus of the Agenda is on: (1) enhanced security measures against illicit trafficking of drugs from organised crime groups to external border management and illicit distribution and production; (2) increased prevention including awareness raising of the adverse effects of drugs, notably the intersection between drug use, violence and other criminality; and (3) addressing drug related harms through access to treatment, risk and harm reduction, and a balanced approach to the issue of drugs in prisons. On 30 November 2020 the Commission also adopted an evaluation of the EU drug precursor policy which concludes that additional action is needed to prevent access of organised crime groups in the EU to the chemicals they need to produce illegal synthetic drugs</w:t>
      </w:r>
      <w:r>
        <w:rPr>
          <w:rStyle w:val="FootnoteReference"/>
          <w:rFonts w:ascii="Times New Roman" w:hAnsi="Times New Roman" w:cs="Times New Roman"/>
          <w:noProof/>
          <w:sz w:val="24"/>
          <w:szCs w:val="24"/>
        </w:rPr>
        <w:footnoteReference w:id="121"/>
      </w:r>
      <w:r>
        <w:rPr>
          <w:rFonts w:ascii="Times New Roman" w:hAnsi="Times New Roman" w:cs="Times New Roman"/>
          <w:noProof/>
          <w:sz w:val="24"/>
          <w:szCs w:val="24"/>
        </w:rPr>
        <w:t>.</w:t>
      </w:r>
    </w:p>
    <w:p w:rsidR="00872751" w:rsidRDefault="008477BD">
      <w:pPr>
        <w:spacing w:after="120" w:line="240" w:lineRule="auto"/>
        <w:jc w:val="both"/>
        <w:rPr>
          <w:rFonts w:ascii="Verdana" w:hAnsi="Verdana"/>
          <w:noProof/>
          <w:sz w:val="18"/>
          <w:szCs w:val="18"/>
        </w:rPr>
      </w:pPr>
      <w:r>
        <w:rPr>
          <w:rFonts w:ascii="Times New Roman" w:hAnsi="Times New Roman" w:cs="Times New Roman"/>
          <w:noProof/>
          <w:sz w:val="24"/>
          <w:szCs w:val="24"/>
        </w:rPr>
        <w:t>The EU has also funded concrete projects to enhance the fight against drugs such as the Civil Society Forum on Drugs. The European Drug Report 2020 of the European Monitoring Centre for Drugs and Drug Addiction published on 22</w:t>
      </w:r>
      <w:r>
        <w:rPr>
          <w:rFonts w:ascii="Times New Roman" w:hAnsi="Times New Roman" w:cs="Times New Roman"/>
          <w:noProof/>
          <w:sz w:val="24"/>
          <w:szCs w:val="24"/>
          <w:vertAlign w:val="superscript"/>
        </w:rPr>
        <w:t>nd</w:t>
      </w:r>
      <w:r>
        <w:rPr>
          <w:rFonts w:ascii="Times New Roman" w:hAnsi="Times New Roman" w:cs="Times New Roman"/>
          <w:noProof/>
          <w:sz w:val="24"/>
          <w:szCs w:val="24"/>
        </w:rPr>
        <w:t xml:space="preserve"> September 2020</w:t>
      </w:r>
      <w:r>
        <w:rPr>
          <w:rStyle w:val="FootnoteReference"/>
          <w:rFonts w:ascii="Times New Roman" w:hAnsi="Times New Roman" w:cs="Times New Roman"/>
          <w:noProof/>
          <w:sz w:val="24"/>
          <w:szCs w:val="24"/>
        </w:rPr>
        <w:footnoteReference w:id="122"/>
      </w:r>
      <w:r>
        <w:rPr>
          <w:rFonts w:ascii="Times New Roman" w:hAnsi="Times New Roman" w:cs="Times New Roman"/>
          <w:noProof/>
          <w:sz w:val="24"/>
          <w:szCs w:val="24"/>
        </w:rPr>
        <w:t xml:space="preserve"> shows recent drug use and market trends across the EU, Turkey and Norway. It shows an increase in cocaine availability with seizures at a record high amounting to 181 tonnes, an almost doubling of heroin seizures to 9.7 tonnes and high availability of high-purity drugs in the EU. It also explores the appearance of novel synthetic opioids, of particular health concerns and addresses the challenges caused by the COVID-19 pandemic.</w:t>
      </w:r>
      <w:r>
        <w:rPr>
          <w:rFonts w:ascii="Verdana" w:hAnsi="Verdana"/>
          <w:noProof/>
          <w:sz w:val="18"/>
          <w:szCs w:val="18"/>
        </w:rPr>
        <w:t> </w:t>
      </w:r>
    </w:p>
    <w:p w:rsidR="00872751" w:rsidRDefault="008477BD">
      <w:pPr>
        <w:spacing w:after="120" w:line="240" w:lineRule="auto"/>
        <w:jc w:val="both"/>
        <w:rPr>
          <w:rFonts w:ascii="Times New Roman" w:hAnsi="Times New Roman" w:cs="Times New Roman"/>
          <w:noProof/>
          <w:sz w:val="24"/>
          <w:szCs w:val="24"/>
          <w:lang w:val="en-GB" w:eastAsia="en-GB"/>
        </w:rPr>
      </w:pPr>
      <w:r>
        <w:rPr>
          <w:rFonts w:ascii="Times New Roman" w:hAnsi="Times New Roman" w:cs="Times New Roman"/>
          <w:noProof/>
          <w:sz w:val="24"/>
          <w:szCs w:val="24"/>
          <w:lang w:val="en-IE"/>
        </w:rPr>
        <w:t xml:space="preserve">Work against drugs is taken forward on several different levels. The </w:t>
      </w:r>
      <w:r>
        <w:rPr>
          <w:rFonts w:ascii="Times New Roman" w:hAnsi="Times New Roman" w:cs="Times New Roman"/>
          <w:b/>
          <w:bCs/>
          <w:noProof/>
          <w:sz w:val="24"/>
          <w:szCs w:val="24"/>
        </w:rPr>
        <w:t>legislative package on new psychoactive substances</w:t>
      </w:r>
      <w:r>
        <w:rPr>
          <w:rFonts w:ascii="Times New Roman" w:hAnsi="Times New Roman" w:cs="Times New Roman"/>
          <w:noProof/>
          <w:sz w:val="24"/>
          <w:szCs w:val="24"/>
        </w:rPr>
        <w:t xml:space="preserve"> (NPS) was adopted in autumn 2017</w:t>
      </w:r>
      <w:r>
        <w:rPr>
          <w:rStyle w:val="FootnoteReference"/>
          <w:rFonts w:ascii="Times New Roman" w:hAnsi="Times New Roman" w:cs="Times New Roman"/>
          <w:noProof/>
          <w:sz w:val="24"/>
          <w:szCs w:val="24"/>
        </w:rPr>
        <w:footnoteReference w:id="123"/>
      </w:r>
      <w:r>
        <w:rPr>
          <w:rFonts w:ascii="Times New Roman" w:hAnsi="Times New Roman" w:cs="Times New Roman"/>
          <w:noProof/>
          <w:sz w:val="24"/>
          <w:szCs w:val="24"/>
        </w:rPr>
        <w:t xml:space="preserve"> and became fully applicable in November 2018. Five Member States are still under infringement procedure</w:t>
      </w:r>
      <w:r>
        <w:rPr>
          <w:rStyle w:val="FootnoteReference"/>
          <w:rFonts w:ascii="Times New Roman" w:hAnsi="Times New Roman" w:cs="Times New Roman"/>
          <w:noProof/>
          <w:sz w:val="24"/>
          <w:szCs w:val="24"/>
        </w:rPr>
        <w:footnoteReference w:id="124"/>
      </w:r>
      <w:r>
        <w:rPr>
          <w:rFonts w:ascii="Times New Roman" w:hAnsi="Times New Roman" w:cs="Times New Roman"/>
          <w:noProof/>
          <w:sz w:val="24"/>
          <w:szCs w:val="24"/>
        </w:rPr>
        <w:t xml:space="preserve">. </w:t>
      </w:r>
      <w:r>
        <w:rPr>
          <w:rFonts w:ascii="Times New Roman" w:hAnsi="Times New Roman" w:cs="Times New Roman"/>
          <w:noProof/>
          <w:sz w:val="24"/>
          <w:szCs w:val="24"/>
        </w:rPr>
        <w:lastRenderedPageBreak/>
        <w:t>The first delegated act to define a new psychoactive substance (isotonitazene) as a drug has now been adopted.</w:t>
      </w:r>
      <w:r>
        <w:rPr>
          <w:rStyle w:val="FootnoteReference"/>
          <w:rFonts w:ascii="Times New Roman" w:hAnsi="Times New Roman" w:cs="Times New Roman"/>
          <w:noProof/>
          <w:sz w:val="24"/>
          <w:szCs w:val="24"/>
        </w:rPr>
        <w:footnoteReference w:id="125"/>
      </w:r>
      <w:r>
        <w:rPr>
          <w:rFonts w:ascii="Times New Roman" w:hAnsi="Times New Roman" w:cs="Times New Roman"/>
          <w:noProof/>
          <w:sz w:val="24"/>
          <w:szCs w:val="24"/>
        </w:rPr>
        <w:t xml:space="preserve"> </w:t>
      </w:r>
    </w:p>
    <w:p w:rsidR="00872751" w:rsidRDefault="008477BD">
      <w:pPr>
        <w:spacing w:after="120" w:line="240" w:lineRule="auto"/>
        <w:jc w:val="both"/>
        <w:rPr>
          <w:rFonts w:ascii="Times New Roman" w:hAnsi="Times New Roman"/>
          <w:noProof/>
          <w:sz w:val="24"/>
        </w:rPr>
      </w:pPr>
      <w:r>
        <w:rPr>
          <w:rFonts w:ascii="Times New Roman" w:hAnsi="Times New Roman" w:cs="Times New Roman"/>
          <w:noProof/>
          <w:sz w:val="24"/>
          <w:szCs w:val="24"/>
        </w:rPr>
        <w:t xml:space="preserve">On the </w:t>
      </w:r>
      <w:r>
        <w:rPr>
          <w:rFonts w:ascii="Times New Roman" w:hAnsi="Times New Roman" w:cs="Times New Roman"/>
          <w:b/>
          <w:bCs/>
          <w:noProof/>
          <w:sz w:val="24"/>
          <w:szCs w:val="24"/>
        </w:rPr>
        <w:t>international stage</w:t>
      </w:r>
      <w:r>
        <w:rPr>
          <w:rFonts w:ascii="Times New Roman" w:hAnsi="Times New Roman" w:cs="Times New Roman"/>
          <w:noProof/>
          <w:sz w:val="24"/>
          <w:szCs w:val="24"/>
        </w:rPr>
        <w:t>, the EU has been active in the United Nations Commission on Narcotic Drugs</w:t>
      </w:r>
      <w:r>
        <w:rPr>
          <w:rStyle w:val="FootnoteReference"/>
          <w:rFonts w:ascii="Times New Roman" w:hAnsi="Times New Roman" w:cs="Times New Roman"/>
          <w:noProof/>
          <w:sz w:val="24"/>
          <w:szCs w:val="24"/>
        </w:rPr>
        <w:footnoteReference w:id="126"/>
      </w:r>
      <w:r>
        <w:rPr>
          <w:rFonts w:ascii="Times New Roman" w:hAnsi="Times New Roman" w:cs="Times New Roman"/>
          <w:noProof/>
          <w:sz w:val="24"/>
          <w:szCs w:val="24"/>
        </w:rPr>
        <w:t>, notably to update as regards the scheduling of new psychoactive substances</w:t>
      </w:r>
      <w:r>
        <w:rPr>
          <w:rStyle w:val="FootnoteReference"/>
          <w:rFonts w:ascii="Times New Roman" w:hAnsi="Times New Roman" w:cs="Times New Roman"/>
          <w:noProof/>
          <w:sz w:val="24"/>
          <w:szCs w:val="24"/>
        </w:rPr>
        <w:footnoteReference w:id="127"/>
      </w:r>
      <w:r>
        <w:rPr>
          <w:rFonts w:ascii="Times New Roman" w:hAnsi="Times New Roman" w:cs="Times New Roman"/>
          <w:noProof/>
          <w:sz w:val="24"/>
          <w:szCs w:val="24"/>
        </w:rPr>
        <w:t xml:space="preserve"> as well as for the re-scheduling of cannabis and cannabis-related substances</w:t>
      </w:r>
      <w:r>
        <w:rPr>
          <w:rStyle w:val="FootnoteReference"/>
          <w:rFonts w:ascii="Times New Roman" w:hAnsi="Times New Roman" w:cs="Times New Roman"/>
          <w:noProof/>
          <w:sz w:val="24"/>
          <w:szCs w:val="24"/>
        </w:rPr>
        <w:footnoteReference w:id="128"/>
      </w:r>
      <w:r>
        <w:rPr>
          <w:rFonts w:ascii="Times New Roman" w:hAnsi="Times New Roman" w:cs="Times New Roman"/>
          <w:noProof/>
          <w:sz w:val="24"/>
          <w:szCs w:val="24"/>
        </w:rPr>
        <w:t>. Two new dialogues on drugs with China and Iran have been approved by the Council</w:t>
      </w:r>
      <w:r>
        <w:rPr>
          <w:rStyle w:val="FootnoteReference"/>
          <w:rFonts w:ascii="Times New Roman" w:hAnsi="Times New Roman" w:cs="Times New Roman"/>
          <w:noProof/>
          <w:sz w:val="24"/>
          <w:szCs w:val="24"/>
        </w:rPr>
        <w:footnoteReference w:id="129"/>
      </w:r>
      <w:r>
        <w:rPr>
          <w:rFonts w:ascii="Times New Roman" w:hAnsi="Times New Roman" w:cs="Times New Roman"/>
          <w:noProof/>
          <w:sz w:val="24"/>
          <w:szCs w:val="24"/>
        </w:rPr>
        <w:t>, and the European Monitoring Centre for Drugs and Drug Addiction has moved ahead with working arrangements with third countries</w:t>
      </w:r>
      <w:r>
        <w:rPr>
          <w:rStyle w:val="FootnoteReference"/>
          <w:rFonts w:ascii="Times New Roman" w:hAnsi="Times New Roman" w:cs="Times New Roman"/>
          <w:noProof/>
          <w:sz w:val="24"/>
          <w:szCs w:val="24"/>
        </w:rPr>
        <w:footnoteReference w:id="130"/>
      </w:r>
      <w:r>
        <w:rPr>
          <w:rFonts w:ascii="Times New Roman" w:hAnsi="Times New Roman" w:cs="Times New Roman"/>
          <w:noProof/>
          <w:sz w:val="24"/>
          <w:szCs w:val="24"/>
        </w:rPr>
        <w:t>.</w:t>
      </w:r>
    </w:p>
    <w:p w:rsidR="00872751" w:rsidRDefault="008477BD">
      <w:pPr>
        <w:spacing w:after="120" w:line="240" w:lineRule="auto"/>
        <w:jc w:val="both"/>
        <w:rPr>
          <w:rFonts w:ascii="Times New Roman" w:hAnsi="Times New Roman"/>
          <w:i/>
          <w:noProof/>
          <w:sz w:val="24"/>
        </w:rPr>
      </w:pPr>
      <w:r>
        <w:rPr>
          <w:rFonts w:ascii="Times New Roman" w:hAnsi="Times New Roman" w:cs="Times New Roman"/>
          <w:i/>
          <w:iCs/>
          <w:noProof/>
          <w:sz w:val="24"/>
          <w:szCs w:val="24"/>
        </w:rPr>
        <w:t xml:space="preserve">Fight against financial crime </w:t>
      </w:r>
    </w:p>
    <w:p w:rsidR="00872751" w:rsidRDefault="008477BD">
      <w:pPr>
        <w:pStyle w:val="Caption"/>
        <w:jc w:val="both"/>
        <w:rPr>
          <w:rFonts w:ascii="Times New Roman" w:hAnsi="Times New Roman" w:cs="Times New Roman"/>
          <w:noProof/>
          <w:sz w:val="24"/>
          <w:szCs w:val="24"/>
        </w:rPr>
      </w:pPr>
      <w:r>
        <w:rPr>
          <w:rFonts w:ascii="Times New Roman" w:hAnsi="Times New Roman"/>
          <w:i w:val="0"/>
          <w:noProof/>
          <w:color w:val="auto"/>
          <w:sz w:val="24"/>
          <w:lang w:val="en-GB" w:eastAsia="en-GB"/>
        </w:rPr>
        <w:drawing>
          <wp:anchor distT="0" distB="0" distL="114300" distR="114300" simplePos="0" relativeHeight="251656704" behindDoc="0" locked="0" layoutInCell="1" allowOverlap="1">
            <wp:simplePos x="0" y="0"/>
            <wp:positionH relativeFrom="margin">
              <wp:posOffset>2724785</wp:posOffset>
            </wp:positionH>
            <wp:positionV relativeFrom="margin">
              <wp:posOffset>2661285</wp:posOffset>
            </wp:positionV>
            <wp:extent cx="2988221" cy="3211451"/>
            <wp:effectExtent l="0" t="0" r="3175"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2988221" cy="3211451"/>
                    </a:xfrm>
                    <a:prstGeom prst="rect">
                      <a:avLst/>
                    </a:prstGeom>
                  </pic:spPr>
                </pic:pic>
              </a:graphicData>
            </a:graphic>
          </wp:anchor>
        </w:drawing>
      </w:r>
      <w:r>
        <w:rPr>
          <w:rFonts w:ascii="Times New Roman" w:hAnsi="Times New Roman"/>
          <w:i w:val="0"/>
          <w:noProof/>
          <w:color w:val="auto"/>
          <w:sz w:val="24"/>
        </w:rPr>
        <w:t>New legislation has been adopted to enhance the fight against financial crime as well as money laundering. The directive facilitating the use of financial and other information for the prevention, detection, investigation or prosecution of certain criminal offences was adopted in 2019 granting access to national centralised bank account registries to law enforcement authorities and Asset Recovery Offices for the purposes of fighting serious crime. The Directive also aims to improve cooperation between law enforcement authorities and Financial Intelligence Units (FIUs) and facilitate the exchange of information between FIUs. In June 2020, the Commission published a report on “Asset recovery and confiscation: ensuring that crime does not pay”</w:t>
      </w:r>
      <w:r>
        <w:rPr>
          <w:rStyle w:val="FootnoteReference"/>
          <w:rFonts w:ascii="Times New Roman" w:hAnsi="Times New Roman"/>
          <w:i w:val="0"/>
          <w:noProof/>
          <w:color w:val="auto"/>
          <w:sz w:val="24"/>
        </w:rPr>
        <w:footnoteReference w:id="131"/>
      </w:r>
      <w:r>
        <w:rPr>
          <w:rFonts w:ascii="Times New Roman" w:hAnsi="Times New Roman"/>
          <w:i w:val="0"/>
          <w:noProof/>
          <w:color w:val="auto"/>
          <w:sz w:val="24"/>
        </w:rPr>
        <w:t xml:space="preserve"> This pointed to the potential for greater harmonisation in asset recovery </w:t>
      </w:r>
      <w:r>
        <w:rPr>
          <w:rFonts w:ascii="Times New Roman" w:hAnsi="Times New Roman" w:cs="Times New Roman"/>
          <w:i w:val="0"/>
          <w:noProof/>
          <w:color w:val="auto"/>
          <w:sz w:val="24"/>
          <w:szCs w:val="24"/>
        </w:rPr>
        <w:t>regimes</w:t>
      </w:r>
      <w:r>
        <w:rPr>
          <w:rStyle w:val="FootnoteReference"/>
          <w:rFonts w:ascii="Times New Roman" w:hAnsi="Times New Roman" w:cs="Times New Roman"/>
          <w:i w:val="0"/>
          <w:noProof/>
          <w:color w:val="auto"/>
          <w:sz w:val="24"/>
          <w:szCs w:val="24"/>
        </w:rPr>
        <w:footnoteReference w:id="132"/>
      </w:r>
      <w:r>
        <w:rPr>
          <w:rFonts w:ascii="Times New Roman" w:hAnsi="Times New Roman" w:cs="Times New Roman"/>
          <w:i w:val="0"/>
          <w:noProof/>
          <w:color w:val="auto"/>
          <w:sz w:val="24"/>
          <w:szCs w:val="24"/>
        </w:rPr>
        <w:t xml:space="preserve"> to modernise EU legislation on asset recovery and strengthen national authorities’ capacities in fighting organised crime. Further analysis of asset recovery through an external study has been launched.</w:t>
      </w:r>
      <w:r>
        <w:rPr>
          <w:rFonts w:ascii="Times New Roman" w:eastAsia="Times New Roman" w:hAnsi="Times New Roman" w:cs="Times New Roman"/>
          <w:i w:val="0"/>
          <w:noProof/>
          <w:color w:val="auto"/>
          <w:sz w:val="24"/>
          <w:szCs w:val="24"/>
        </w:rPr>
        <w:t xml:space="preserve"> The regulation on the mutual recognition of freezing and confiscation orders</w:t>
      </w:r>
      <w:r>
        <w:rPr>
          <w:rStyle w:val="FootnoteReference"/>
          <w:rFonts w:ascii="Times New Roman" w:eastAsia="Times New Roman" w:hAnsi="Times New Roman" w:cs="Times New Roman"/>
          <w:i w:val="0"/>
          <w:noProof/>
          <w:color w:val="auto"/>
          <w:sz w:val="24"/>
          <w:szCs w:val="24"/>
        </w:rPr>
        <w:footnoteReference w:id="133"/>
      </w:r>
      <w:r>
        <w:rPr>
          <w:rFonts w:ascii="Times New Roman" w:eastAsia="Times New Roman" w:hAnsi="Times New Roman" w:cs="Times New Roman"/>
          <w:i w:val="0"/>
          <w:noProof/>
          <w:color w:val="auto"/>
          <w:sz w:val="24"/>
          <w:szCs w:val="24"/>
        </w:rPr>
        <w:t xml:space="preserve"> will apply from 19 December 2020 and will considerably enhance cooperation between Member States</w:t>
      </w:r>
      <w:r>
        <w:rPr>
          <w:rFonts w:ascii="Times New Roman" w:eastAsia="Times New Roman" w:hAnsi="Times New Roman" w:cs="Times New Roman"/>
          <w:noProof/>
          <w:color w:val="auto"/>
          <w:sz w:val="24"/>
          <w:szCs w:val="24"/>
        </w:rPr>
        <w:t>.</w:t>
      </w:r>
    </w:p>
    <w:p w:rsidR="00872751" w:rsidRDefault="008477BD">
      <w:pPr>
        <w:tabs>
          <w:tab w:val="left" w:pos="7230"/>
        </w:tabs>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In May 2020, the Commission adopted </w:t>
      </w:r>
      <w:r>
        <w:rPr>
          <w:rFonts w:ascii="Times New Roman" w:hAnsi="Times New Roman" w:cs="Times New Roman"/>
          <w:b/>
          <w:bCs/>
          <w:noProof/>
          <w:sz w:val="24"/>
          <w:szCs w:val="24"/>
        </w:rPr>
        <w:t>an action plan for a comprehensive Union policy on preventing money laundering and terrorism financing</w:t>
      </w:r>
      <w:r>
        <w:rPr>
          <w:rStyle w:val="FootnoteReference"/>
          <w:rFonts w:ascii="Times New Roman" w:hAnsi="Times New Roman" w:cs="Times New Roman"/>
          <w:noProof/>
          <w:sz w:val="24"/>
          <w:szCs w:val="24"/>
        </w:rPr>
        <w:footnoteReference w:id="134"/>
      </w:r>
      <w:r>
        <w:rPr>
          <w:rFonts w:ascii="Times New Roman" w:hAnsi="Times New Roman" w:cs="Times New Roman"/>
          <w:b/>
          <w:bCs/>
          <w:noProof/>
          <w:sz w:val="24"/>
          <w:szCs w:val="24"/>
        </w:rPr>
        <w:t xml:space="preserve"> </w:t>
      </w:r>
      <w:r>
        <w:rPr>
          <w:rFonts w:ascii="Times New Roman" w:hAnsi="Times New Roman" w:cs="Times New Roman"/>
          <w:noProof/>
          <w:sz w:val="24"/>
          <w:szCs w:val="24"/>
        </w:rPr>
        <w:t>to enhance the EU framework. On 5 November, the Council adopted Conclusions on anti-money laundering and terrorism financing</w:t>
      </w:r>
      <w:r>
        <w:rPr>
          <w:rStyle w:val="FootnoteReference"/>
          <w:rFonts w:ascii="Times New Roman" w:hAnsi="Times New Roman" w:cs="Times New Roman"/>
          <w:noProof/>
          <w:sz w:val="24"/>
          <w:szCs w:val="24"/>
        </w:rPr>
        <w:footnoteReference w:id="135"/>
      </w:r>
      <w:r>
        <w:rPr>
          <w:rFonts w:ascii="Times New Roman" w:hAnsi="Times New Roman" w:cs="Times New Roman"/>
          <w:noProof/>
          <w:sz w:val="24"/>
          <w:szCs w:val="24"/>
        </w:rPr>
        <w:t xml:space="preserve"> notably asking the Commission to work on the adoption of a single rulebook, the establishment of an independent supervisor and coordination of Financial Intelligence Units. In line with the Council Conclusions on enhancing financial investigations</w:t>
      </w:r>
      <w:r>
        <w:rPr>
          <w:rStyle w:val="FootnoteReference"/>
          <w:rFonts w:ascii="Times New Roman" w:hAnsi="Times New Roman" w:cs="Times New Roman"/>
          <w:noProof/>
          <w:sz w:val="24"/>
          <w:szCs w:val="24"/>
        </w:rPr>
        <w:footnoteReference w:id="136"/>
      </w:r>
      <w:r>
        <w:rPr>
          <w:rFonts w:ascii="Times New Roman" w:hAnsi="Times New Roman" w:cs="Times New Roman"/>
          <w:noProof/>
          <w:sz w:val="24"/>
          <w:szCs w:val="24"/>
        </w:rPr>
        <w:t>, the Commission is also assessing the need to interconnect centralised bank account registries, which would significantly speed up access to information of bank accounts for Financial Intelligence Units and law enforcement. In parallel, efforts continue to ensure that the latest EU standards are effectively implemented by Member States. Rules under the 5</w:t>
      </w:r>
      <w:r>
        <w:rPr>
          <w:rFonts w:ascii="Times New Roman" w:hAnsi="Times New Roman" w:cs="Times New Roman"/>
          <w:noProof/>
          <w:sz w:val="24"/>
          <w:szCs w:val="24"/>
          <w:vertAlign w:val="superscript"/>
        </w:rPr>
        <w:t>th</w:t>
      </w:r>
      <w:r>
        <w:rPr>
          <w:rFonts w:ascii="Times New Roman" w:hAnsi="Times New Roman" w:cs="Times New Roman"/>
          <w:noProof/>
          <w:sz w:val="24"/>
          <w:szCs w:val="24"/>
        </w:rPr>
        <w:t xml:space="preserve"> Anti- Money Laundering Directive aim to ensure the increased level of transparency of corporate ownership structures. The transposition deadline expired on 1 January 2020 and the Commission launched infringement proceedings against 16 Member States</w:t>
      </w:r>
      <w:r>
        <w:rPr>
          <w:rStyle w:val="FootnoteReference"/>
          <w:rFonts w:ascii="Times New Roman" w:hAnsi="Times New Roman" w:cs="Times New Roman"/>
          <w:noProof/>
          <w:sz w:val="24"/>
          <w:szCs w:val="24"/>
        </w:rPr>
        <w:footnoteReference w:id="137"/>
      </w:r>
      <w:r>
        <w:rPr>
          <w:rFonts w:ascii="Times New Roman" w:hAnsi="Times New Roman" w:cs="Times New Roman"/>
          <w:noProof/>
          <w:sz w:val="24"/>
          <w:szCs w:val="24"/>
        </w:rPr>
        <w:t>. Another important measure is the new Cash Controls Regulation</w:t>
      </w:r>
      <w:r>
        <w:rPr>
          <w:rStyle w:val="FootnoteReference"/>
          <w:rFonts w:ascii="Times New Roman" w:hAnsi="Times New Roman" w:cs="Times New Roman"/>
          <w:noProof/>
          <w:sz w:val="24"/>
          <w:szCs w:val="24"/>
        </w:rPr>
        <w:footnoteReference w:id="138"/>
      </w:r>
      <w:r>
        <w:rPr>
          <w:rFonts w:ascii="Times New Roman" w:hAnsi="Times New Roman" w:cs="Times New Roman"/>
          <w:noProof/>
          <w:sz w:val="24"/>
          <w:szCs w:val="24"/>
        </w:rPr>
        <w:t xml:space="preserve"> adopted in October 2018 and applicable from 3 June 2021. It will improve the existing system of controls on cash entering or leaving the EU and implementing provisions are under preparation.</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On the external front, efforts continue to support partner countries in addressing money laundering and terrorist financing. In this context, the EEAS and EU Delegations play a key role in promoting and supporting the political engagement with third countries and international organisations such as the Financial Action Task Force (FATF).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 complement this work, the Commission has launched a global facility to provide support to partner countries outside the EU to put in place effective anti-money laundering/countering terrorism financing frameworks in line with international standards. The €20m action also aims to encourage cooperation between financial, justice actors at national, regional and international levels. </w:t>
      </w:r>
    </w:p>
    <w:p w:rsidR="00872751" w:rsidRDefault="008477BD">
      <w:pPr>
        <w:spacing w:after="120" w:line="240" w:lineRule="auto"/>
        <w:jc w:val="both"/>
        <w:rPr>
          <w:rFonts w:ascii="Times New Roman" w:hAnsi="Times New Roman"/>
          <w:i/>
          <w:noProof/>
          <w:sz w:val="24"/>
        </w:rPr>
      </w:pPr>
      <w:r>
        <w:rPr>
          <w:rFonts w:ascii="Times New Roman" w:hAnsi="Times New Roman" w:cs="Times New Roman"/>
          <w:i/>
          <w:iCs/>
          <w:noProof/>
          <w:sz w:val="24"/>
          <w:szCs w:val="24"/>
        </w:rPr>
        <w:t xml:space="preserve">Fight against corruption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Corruption is a crime in itself and a key enabler of organised crime. The prevention and fight against corruption will be subject to regular monitoring and assessment of Member States legal framework under the newly established </w:t>
      </w:r>
      <w:r>
        <w:rPr>
          <w:rFonts w:ascii="Times New Roman" w:hAnsi="Times New Roman" w:cs="Times New Roman"/>
          <w:b/>
          <w:bCs/>
          <w:noProof/>
          <w:sz w:val="24"/>
          <w:szCs w:val="24"/>
        </w:rPr>
        <w:t>Rule of law mechanism</w:t>
      </w:r>
      <w:r>
        <w:rPr>
          <w:rStyle w:val="FootnoteReference"/>
          <w:rFonts w:ascii="Times New Roman" w:hAnsi="Times New Roman" w:cs="Times New Roman"/>
          <w:b/>
          <w:bCs/>
          <w:noProof/>
          <w:sz w:val="24"/>
          <w:szCs w:val="24"/>
        </w:rPr>
        <w:footnoteReference w:id="139"/>
      </w:r>
      <w:r>
        <w:rPr>
          <w:rFonts w:ascii="Times New Roman" w:hAnsi="Times New Roman" w:cs="Times New Roman"/>
          <w:noProof/>
          <w:sz w:val="24"/>
          <w:szCs w:val="24"/>
        </w:rPr>
        <w:t xml:space="preserve">. The </w:t>
      </w:r>
      <w:hyperlink r:id="rId25" w:history="1">
        <w:r>
          <w:rPr>
            <w:rFonts w:ascii="Times New Roman" w:hAnsi="Times New Roman" w:cs="Times New Roman"/>
            <w:noProof/>
            <w:sz w:val="24"/>
            <w:szCs w:val="24"/>
          </w:rPr>
          <w:t>first EU-wide report on the rule of law</w:t>
        </w:r>
      </w:hyperlink>
      <w:r>
        <w:rPr>
          <w:rFonts w:ascii="Times New Roman" w:hAnsi="Times New Roman" w:cs="Times New Roman"/>
          <w:noProof/>
          <w:sz w:val="24"/>
          <w:szCs w:val="24"/>
        </w:rPr>
        <w:t xml:space="preserve"> was adopted on 30 September 2020</w:t>
      </w:r>
      <w:r>
        <w:rPr>
          <w:rStyle w:val="FootnoteReference"/>
          <w:rFonts w:ascii="Times New Roman" w:hAnsi="Times New Roman" w:cs="Times New Roman"/>
          <w:noProof/>
          <w:sz w:val="24"/>
          <w:szCs w:val="24"/>
        </w:rPr>
        <w:footnoteReference w:id="140"/>
      </w:r>
      <w:r>
        <w:rPr>
          <w:rFonts w:ascii="Times New Roman" w:hAnsi="Times New Roman" w:cs="Times New Roman"/>
          <w:noProof/>
          <w:sz w:val="24"/>
          <w:szCs w:val="24"/>
        </w:rPr>
        <w:t xml:space="preserve">. It showed that many Member States have high rule of law standards, but important challenges remain. The report covers all Member States with objective and factual annual assessments, with the goal of developing a stronger awareness and understanding of developments in the individual Member States as they occur, to be able to identify risks, develop possible solutions, and target support early on. The </w:t>
      </w:r>
      <w:r>
        <w:rPr>
          <w:rFonts w:ascii="Times New Roman" w:hAnsi="Times New Roman" w:cs="Times New Roman"/>
          <w:b/>
          <w:bCs/>
          <w:noProof/>
          <w:sz w:val="24"/>
          <w:szCs w:val="24"/>
        </w:rPr>
        <w:t>European Public Prosecutor’s Office</w:t>
      </w:r>
      <w:r>
        <w:rPr>
          <w:rFonts w:ascii="Times New Roman" w:hAnsi="Times New Roman" w:cs="Times New Roman"/>
          <w:noProof/>
          <w:sz w:val="24"/>
          <w:szCs w:val="24"/>
        </w:rPr>
        <w:t xml:space="preserve"> (EPPO) will tackle crime against the EU budget, at this stage in the participating 22 EU countries. It will have the power to investigate, prosecute and bring to judgment those responsible for criminal offences against </w:t>
      </w:r>
      <w:r>
        <w:rPr>
          <w:rFonts w:ascii="Times New Roman" w:hAnsi="Times New Roman" w:cs="Times New Roman"/>
          <w:noProof/>
          <w:sz w:val="24"/>
          <w:szCs w:val="24"/>
        </w:rPr>
        <w:lastRenderedPageBreak/>
        <w:t>the EU budget, such as fraud, corruption or serious cross-border VAT fraud. The EPPO should be operational in the first quarter of 2021. </w:t>
      </w:r>
      <w:r>
        <w:rPr>
          <w:rStyle w:val="FootnoteReference"/>
          <w:noProof/>
          <w:color w:val="000000"/>
          <w:shd w:val="clear" w:color="auto" w:fill="FFFFFF"/>
        </w:rPr>
        <w:footnoteReference w:id="141"/>
      </w:r>
      <w:r>
        <w:rPr>
          <w:rFonts w:ascii="Times New Roman" w:hAnsi="Times New Roman" w:cs="Times New Roman"/>
          <w:noProof/>
          <w:sz w:val="24"/>
          <w:szCs w:val="24"/>
        </w:rPr>
        <w:t xml:space="preserv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is currently assessing the transposition into national law of the rules laid down in the </w:t>
      </w:r>
      <w:r>
        <w:rPr>
          <w:rFonts w:ascii="Times New Roman" w:hAnsi="Times New Roman" w:cs="Times New Roman"/>
          <w:b/>
          <w:bCs/>
          <w:noProof/>
          <w:sz w:val="24"/>
          <w:szCs w:val="24"/>
        </w:rPr>
        <w:t>Directive on the fight against fraud to the Union’s financial interests</w:t>
      </w:r>
      <w:r>
        <w:rPr>
          <w:rFonts w:ascii="Times New Roman" w:hAnsi="Times New Roman" w:cs="Times New Roman"/>
          <w:noProof/>
          <w:sz w:val="24"/>
          <w:szCs w:val="24"/>
        </w:rPr>
        <w:t xml:space="preserve"> by means of criminal law</w:t>
      </w:r>
      <w:r>
        <w:rPr>
          <w:rStyle w:val="FootnoteReference"/>
          <w:rFonts w:ascii="Times New Roman" w:hAnsi="Times New Roman" w:cs="Times New Roman"/>
          <w:noProof/>
          <w:sz w:val="24"/>
          <w:szCs w:val="24"/>
        </w:rPr>
        <w:footnoteReference w:id="142"/>
      </w:r>
      <w:r>
        <w:rPr>
          <w:rFonts w:ascii="Times New Roman" w:hAnsi="Times New Roman" w:cs="Times New Roman"/>
          <w:noProof/>
          <w:sz w:val="24"/>
          <w:szCs w:val="24"/>
        </w:rPr>
        <w:t xml:space="preserve"> and has brought infringement procedures against those Member States that did not notify a full transposition</w:t>
      </w:r>
      <w:r>
        <w:rPr>
          <w:rStyle w:val="FootnoteReference"/>
          <w:rFonts w:ascii="Times New Roman" w:hAnsi="Times New Roman" w:cs="Times New Roman"/>
          <w:noProof/>
          <w:sz w:val="24"/>
          <w:szCs w:val="24"/>
        </w:rPr>
        <w:footnoteReference w:id="143"/>
      </w:r>
      <w:r>
        <w:rPr>
          <w:rFonts w:ascii="Times New Roman" w:hAnsi="Times New Roman" w:cs="Times New Roman"/>
          <w:noProof/>
          <w:sz w:val="24"/>
          <w:szCs w:val="24"/>
        </w:rPr>
        <w:t>. In 2021, the Commission will adopt a report assessing the extent to which the Member States have taken the necessary measures in order to comply with the Directive.</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i/>
          <w:iCs/>
          <w:noProof/>
          <w:sz w:val="24"/>
          <w:szCs w:val="24"/>
        </w:rPr>
        <w:t xml:space="preserve">Fight against trafficking in cultural goods </w:t>
      </w:r>
    </w:p>
    <w:p w:rsidR="00872751" w:rsidRDefault="008477BD">
      <w:pPr>
        <w:spacing w:after="120" w:line="240" w:lineRule="auto"/>
        <w:jc w:val="both"/>
        <w:rPr>
          <w:rFonts w:ascii="Times New Roman" w:hAnsi="Times New Roman"/>
          <w:noProof/>
          <w:sz w:val="24"/>
        </w:rPr>
      </w:pPr>
      <w:r>
        <w:rPr>
          <w:rFonts w:ascii="Times New Roman" w:hAnsi="Times New Roman" w:cs="Times New Roman"/>
          <w:noProof/>
          <w:sz w:val="24"/>
          <w:szCs w:val="24"/>
        </w:rPr>
        <w:t xml:space="preserve">The main objective of the </w:t>
      </w:r>
      <w:r>
        <w:rPr>
          <w:rFonts w:ascii="Times New Roman" w:hAnsi="Times New Roman" w:cs="Times New Roman"/>
          <w:b/>
          <w:bCs/>
          <w:noProof/>
          <w:sz w:val="24"/>
          <w:szCs w:val="24"/>
        </w:rPr>
        <w:t>Regulation on the introduction and import of cultural goods</w:t>
      </w:r>
      <w:r>
        <w:rPr>
          <w:rStyle w:val="FootnoteReference"/>
          <w:rFonts w:ascii="Times New Roman" w:hAnsi="Times New Roman" w:cs="Times New Roman"/>
          <w:b/>
          <w:bCs/>
          <w:noProof/>
          <w:sz w:val="24"/>
          <w:szCs w:val="24"/>
        </w:rPr>
        <w:footnoteReference w:id="144"/>
      </w:r>
      <w:r>
        <w:rPr>
          <w:rFonts w:ascii="Times New Roman" w:hAnsi="Times New Roman" w:cs="Times New Roman"/>
          <w:b/>
          <w:bCs/>
          <w:noProof/>
          <w:sz w:val="24"/>
          <w:szCs w:val="24"/>
        </w:rPr>
        <w:t xml:space="preserve"> </w:t>
      </w:r>
      <w:r>
        <w:rPr>
          <w:rFonts w:ascii="Times New Roman" w:hAnsi="Times New Roman" w:cs="Times New Roman"/>
          <w:noProof/>
          <w:sz w:val="24"/>
          <w:szCs w:val="24"/>
        </w:rPr>
        <w:t>adopted in June 2019 is to stop imports in the Union of cultural goods illicitly exported from their country of origin. To ensure its proper implementation, the Commission is currently preparing the adoption of implementing provisions, including for a centralised electronic system for the Import of Cultural Goods, which will allow the storage and exchange of information between Member States and the necessary import formalities</w:t>
      </w:r>
      <w:r>
        <w:rPr>
          <w:rStyle w:val="FootnoteReference"/>
          <w:rFonts w:ascii="Times New Roman" w:hAnsi="Times New Roman" w:cs="Times New Roman"/>
          <w:noProof/>
          <w:sz w:val="24"/>
          <w:szCs w:val="24"/>
        </w:rPr>
        <w:footnoteReference w:id="145"/>
      </w:r>
      <w:r>
        <w:rPr>
          <w:rFonts w:ascii="Times New Roman" w:hAnsi="Times New Roman" w:cs="Times New Roman"/>
          <w:noProof/>
          <w:sz w:val="24"/>
          <w:szCs w:val="24"/>
        </w:rPr>
        <w:t xml:space="preserve">. A general prohibition rule will enter into force by the end of 2020, providing Member States customs with the legal means to control and act on for shipments which may contain cultural goods illicitly exported from their country of origin. </w:t>
      </w:r>
    </w:p>
    <w:p w:rsidR="00872751" w:rsidRDefault="008477BD">
      <w:pPr>
        <w:spacing w:after="120" w:line="240" w:lineRule="auto"/>
        <w:rPr>
          <w:rFonts w:ascii="Times New Roman" w:hAnsi="Times New Roman"/>
          <w:i/>
          <w:noProof/>
          <w:sz w:val="24"/>
        </w:rPr>
      </w:pPr>
      <w:r>
        <w:rPr>
          <w:rFonts w:ascii="Times New Roman" w:hAnsi="Times New Roman" w:cs="Times New Roman"/>
          <w:i/>
          <w:iCs/>
          <w:noProof/>
          <w:sz w:val="24"/>
          <w:szCs w:val="24"/>
        </w:rPr>
        <w:t>Fight against illegal firearms trafficking</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On 24 July 2020, the Commission published </w:t>
      </w:r>
      <w:r>
        <w:rPr>
          <w:rFonts w:ascii="Times New Roman" w:hAnsi="Times New Roman" w:cs="Times New Roman"/>
          <w:b/>
          <w:bCs/>
          <w:noProof/>
          <w:sz w:val="24"/>
          <w:szCs w:val="24"/>
        </w:rPr>
        <w:t>a new 2020-2025 EU action plan on firearms trafficking.</w:t>
      </w:r>
      <w:r>
        <w:rPr>
          <w:rStyle w:val="FootnoteReference"/>
          <w:rFonts w:ascii="Times New Roman" w:hAnsi="Times New Roman" w:cs="Times New Roman"/>
          <w:b/>
          <w:bCs/>
          <w:noProof/>
          <w:sz w:val="24"/>
          <w:szCs w:val="24"/>
        </w:rPr>
        <w:footnoteReference w:id="146"/>
      </w:r>
      <w:r>
        <w:rPr>
          <w:rFonts w:ascii="Times New Roman" w:hAnsi="Times New Roman" w:cs="Times New Roman"/>
          <w:noProof/>
          <w:sz w:val="24"/>
          <w:szCs w:val="24"/>
        </w:rPr>
        <w:t xml:space="preserve"> A High-level ministerial conference of EU and Western Balkan foreign affairs and home affairs ministries on 31 January 2020 had underlined the need for more action to fight illegal firearms trafficking. The Action Plan includes specific actions to improve the legal control of firearms, the knowledge of the firearm-related threat, law enforcement cooperation and international cooperation with a focus on south-east Europe. The Commission took steps to ensure that that Directive on control of the acquisition and possession of weapons adopted in May 2017</w:t>
      </w:r>
      <w:r>
        <w:rPr>
          <w:rStyle w:val="FootnoteReference"/>
          <w:rFonts w:ascii="Times New Roman" w:hAnsi="Times New Roman" w:cs="Times New Roman"/>
          <w:noProof/>
          <w:sz w:val="24"/>
          <w:szCs w:val="24"/>
        </w:rPr>
        <w:footnoteReference w:id="147"/>
      </w:r>
      <w:r>
        <w:rPr>
          <w:rFonts w:ascii="Times New Roman" w:hAnsi="Times New Roman" w:cs="Times New Roman"/>
          <w:noProof/>
          <w:sz w:val="24"/>
          <w:szCs w:val="24"/>
        </w:rPr>
        <w:t xml:space="preserve"> is fully transposed by Member States. However, 10 Member States are yet to notify the full transposition of the Directive</w:t>
      </w:r>
      <w:r>
        <w:rPr>
          <w:rStyle w:val="FootnoteReference"/>
          <w:rFonts w:ascii="Times New Roman" w:hAnsi="Times New Roman" w:cs="Times New Roman"/>
          <w:noProof/>
          <w:sz w:val="24"/>
          <w:szCs w:val="24"/>
        </w:rPr>
        <w:footnoteReference w:id="148"/>
      </w:r>
      <w:r>
        <w:rPr>
          <w:rFonts w:ascii="Times New Roman" w:hAnsi="Times New Roman" w:cs="Times New Roman"/>
          <w:noProof/>
          <w:sz w:val="24"/>
          <w:szCs w:val="24"/>
        </w:rPr>
        <w:t xml:space="preserve"> and a large majority of Member States have not transposed the implementing legislation that followed. The Commission has launched infringement procedures as a result</w:t>
      </w:r>
      <w:r>
        <w:rPr>
          <w:rStyle w:val="FootnoteReference"/>
          <w:rFonts w:ascii="Times New Roman" w:hAnsi="Times New Roman" w:cs="Times New Roman"/>
          <w:noProof/>
          <w:sz w:val="24"/>
          <w:szCs w:val="24"/>
        </w:rPr>
        <w:footnoteReference w:id="149"/>
      </w:r>
      <w:r>
        <w:rPr>
          <w:rFonts w:ascii="Times New Roman" w:hAnsi="Times New Roman" w:cs="Times New Roman"/>
          <w:noProof/>
          <w:sz w:val="24"/>
          <w:szCs w:val="24"/>
        </w:rPr>
        <w:t xml:space="preserve">. The </w:t>
      </w:r>
      <w:r>
        <w:rPr>
          <w:rFonts w:ascii="Times New Roman" w:hAnsi="Times New Roman" w:cs="Times New Roman"/>
          <w:noProof/>
          <w:sz w:val="24"/>
          <w:szCs w:val="24"/>
        </w:rPr>
        <w:lastRenderedPageBreak/>
        <w:t>Commission is also assessing in detail the notified transposition measures and will report on the implementation of the Directive in the first half of 2021. The Commission has also started to assess the possible modernization of the legal framework on imports, exports and transit measures of firearms.</w:t>
      </w:r>
      <w:r>
        <w:rPr>
          <w:rStyle w:val="FootnoteReference"/>
          <w:rFonts w:ascii="Times New Roman" w:hAnsi="Times New Roman" w:cs="Times New Roman"/>
          <w:noProof/>
          <w:sz w:val="24"/>
          <w:szCs w:val="24"/>
        </w:rPr>
        <w:footnoteReference w:id="150"/>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 </w:t>
      </w:r>
    </w:p>
    <w:p w:rsidR="00872751" w:rsidRDefault="008477BD">
      <w:pPr>
        <w:spacing w:after="120" w:line="240" w:lineRule="auto"/>
        <w:jc w:val="both"/>
        <w:rPr>
          <w:rFonts w:ascii="Times New Roman" w:hAnsi="Times New Roman" w:cs="Times New Roman"/>
          <w:i/>
          <w:iCs/>
          <w:noProof/>
          <w:sz w:val="24"/>
          <w:szCs w:val="24"/>
        </w:rPr>
      </w:pPr>
      <w:r>
        <w:rPr>
          <w:noProof/>
          <w:lang w:val="en-GB" w:eastAsia="en-GB"/>
        </w:rPr>
        <w:drawing>
          <wp:anchor distT="0" distB="0" distL="114300" distR="114300" simplePos="0" relativeHeight="251659776" behindDoc="0" locked="0" layoutInCell="1" allowOverlap="1">
            <wp:simplePos x="0" y="0"/>
            <wp:positionH relativeFrom="margin">
              <wp:posOffset>2960370</wp:posOffset>
            </wp:positionH>
            <wp:positionV relativeFrom="margin">
              <wp:posOffset>2401570</wp:posOffset>
            </wp:positionV>
            <wp:extent cx="2870336" cy="3982124"/>
            <wp:effectExtent l="0" t="0" r="635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extLst>
                        <a:ext uri="{28A0092B-C50C-407E-A947-70E740481C1C}">
                          <a14:useLocalDpi xmlns:a14="http://schemas.microsoft.com/office/drawing/2010/main" val="0"/>
                        </a:ext>
                      </a:extLst>
                    </a:blip>
                    <a:stretch>
                      <a:fillRect/>
                    </a:stretch>
                  </pic:blipFill>
                  <pic:spPr>
                    <a:xfrm>
                      <a:off x="0" y="0"/>
                      <a:ext cx="2870336" cy="3982124"/>
                    </a:xfrm>
                    <a:prstGeom prst="rect">
                      <a:avLst/>
                    </a:prstGeom>
                  </pic:spPr>
                </pic:pic>
              </a:graphicData>
            </a:graphic>
          </wp:anchor>
        </w:drawing>
      </w:r>
    </w:p>
    <w:p w:rsidR="00872751" w:rsidRDefault="008477BD">
      <w:pPr>
        <w:spacing w:after="120" w:line="240" w:lineRule="auto"/>
        <w:jc w:val="both"/>
        <w:rPr>
          <w:rFonts w:ascii="Times New Roman" w:hAnsi="Times New Roman"/>
          <w:i/>
          <w:noProof/>
          <w:sz w:val="24"/>
        </w:rPr>
      </w:pPr>
      <w:r>
        <w:rPr>
          <w:rFonts w:ascii="Times New Roman" w:hAnsi="Times New Roman" w:cs="Times New Roman"/>
          <w:i/>
          <w:iCs/>
          <w:noProof/>
          <w:sz w:val="24"/>
          <w:szCs w:val="24"/>
        </w:rPr>
        <w:t xml:space="preserve">Fight against trafficking in human beings </w:t>
      </w:r>
    </w:p>
    <w:p w:rsidR="00872751" w:rsidRDefault="008477BD">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Security Union Strategy highlighted the need to develop a new strategic approach towards eradicating </w:t>
      </w:r>
      <w:r>
        <w:rPr>
          <w:rFonts w:ascii="Times New Roman" w:hAnsi="Times New Roman"/>
          <w:noProof/>
          <w:sz w:val="24"/>
          <w:szCs w:val="24"/>
        </w:rPr>
        <w:t xml:space="preserve">trafficking in human beings </w:t>
      </w:r>
      <w:r>
        <w:rPr>
          <w:rFonts w:ascii="Times New Roman" w:hAnsi="Times New Roman" w:cs="Times New Roman"/>
          <w:noProof/>
          <w:sz w:val="24"/>
          <w:szCs w:val="24"/>
        </w:rPr>
        <w:t>within the context of the Agenda on tackling organised crime. In addition, as laid down in Article 20 of the Anti-trafficking Directive</w:t>
      </w:r>
      <w:r>
        <w:rPr>
          <w:rStyle w:val="FootnoteReference"/>
          <w:rFonts w:ascii="Times New Roman" w:hAnsi="Times New Roman" w:cs="Times New Roman"/>
          <w:noProof/>
          <w:sz w:val="24"/>
          <w:szCs w:val="24"/>
        </w:rPr>
        <w:footnoteReference w:id="151"/>
      </w:r>
      <w:r>
        <w:rPr>
          <w:rFonts w:ascii="Times New Roman" w:hAnsi="Times New Roman" w:cs="Times New Roman"/>
          <w:noProof/>
          <w:sz w:val="24"/>
          <w:szCs w:val="24"/>
        </w:rPr>
        <w:t xml:space="preserve"> the Commission published in October 2020 its third report on the progress made in the fight against trafficking in human beings.</w:t>
      </w:r>
      <w:r>
        <w:rPr>
          <w:rStyle w:val="FootnoteReference"/>
          <w:rFonts w:ascii="Times New Roman" w:hAnsi="Times New Roman" w:cs="Times New Roman"/>
          <w:noProof/>
          <w:sz w:val="24"/>
          <w:szCs w:val="24"/>
        </w:rPr>
        <w:footnoteReference w:id="152"/>
      </w:r>
      <w:r>
        <w:rPr>
          <w:rFonts w:ascii="Times New Roman" w:hAnsi="Times New Roman" w:cs="Times New Roman"/>
          <w:noProof/>
          <w:sz w:val="24"/>
          <w:szCs w:val="24"/>
        </w:rPr>
        <w:t xml:space="preserve">. </w:t>
      </w:r>
    </w:p>
    <w:p w:rsidR="00872751" w:rsidRDefault="008477BD">
      <w:pPr>
        <w:autoSpaceDE w:val="0"/>
        <w:autoSpaceDN w:val="0"/>
        <w:adjustRightInd w:val="0"/>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This shows advances in transnational cooperation, cross-border law enforcement and judicial operational actions; the setting-up of national and transnational referral mechanisms for victims and developing the knowledge base about trafficking. Member States make increasing use of EU Agencies to exchange information, carry out joint action and Joint Investigation Teams to fight trafficking in human beings both inside the EU and beyond</w:t>
      </w:r>
      <w:r>
        <w:rPr>
          <w:rStyle w:val="FootnoteReference"/>
          <w:rFonts w:ascii="Times New Roman" w:hAnsi="Times New Roman" w:cs="Times New Roman"/>
          <w:noProof/>
          <w:sz w:val="24"/>
          <w:szCs w:val="24"/>
        </w:rPr>
        <w:footnoteReference w:id="153"/>
      </w:r>
      <w:r>
        <w:rPr>
          <w:rFonts w:ascii="Times New Roman" w:hAnsi="Times New Roman" w:cs="Times New Roman"/>
          <w:noProof/>
          <w:sz w:val="24"/>
          <w:szCs w:val="24"/>
        </w:rPr>
        <w:t xml:space="preserve">. Operational cooperation has brought tangible results, notably in the framework of the European multidisciplinary platform against criminal threats: in 2019 this work has resulted in 825 arrests, 8,824 suspects identified and 1,307 potential victims, including 69 children identified. 94 organised crime groups involved in these crimes were identified or dismantled and €1.5 m of assets frozen in bank accounts, companies and web domains. On EU Anti-Trafficking Day on 18 October 2020, the Commission published a </w:t>
      </w:r>
      <w:r>
        <w:rPr>
          <w:rFonts w:ascii="Times New Roman" w:hAnsi="Times New Roman" w:cs="Times New Roman"/>
          <w:noProof/>
          <w:sz w:val="24"/>
          <w:szCs w:val="24"/>
        </w:rPr>
        <w:lastRenderedPageBreak/>
        <w:t>study on the costs of trafficking in human beings and another on the national and transnational referral mechanisms</w:t>
      </w:r>
      <w:r>
        <w:rPr>
          <w:rStyle w:val="FootnoteReference"/>
          <w:rFonts w:ascii="Times New Roman" w:hAnsi="Times New Roman" w:cs="Times New Roman"/>
          <w:noProof/>
          <w:sz w:val="24"/>
          <w:szCs w:val="24"/>
        </w:rPr>
        <w:footnoteReference w:id="154"/>
      </w:r>
      <w:r>
        <w:rPr>
          <w:rFonts w:ascii="Times New Roman" w:hAnsi="Times New Roman" w:cs="Times New Roman"/>
          <w:noProof/>
          <w:sz w:val="24"/>
          <w:szCs w:val="24"/>
        </w:rPr>
        <w:t xml:space="preserve">. </w:t>
      </w:r>
    </w:p>
    <w:p w:rsidR="00872751" w:rsidRDefault="008477BD">
      <w:pPr>
        <w:autoSpaceDE w:val="0"/>
        <w:autoSpaceDN w:val="0"/>
        <w:adjustRightInd w:val="0"/>
        <w:spacing w:after="120" w:line="240" w:lineRule="auto"/>
        <w:jc w:val="both"/>
        <w:rPr>
          <w:rFonts w:ascii="Times New Roman" w:hAnsi="Times New Roman"/>
          <w:i/>
          <w:noProof/>
          <w:sz w:val="24"/>
        </w:rPr>
      </w:pPr>
      <w:r>
        <w:rPr>
          <w:rFonts w:ascii="Times New Roman" w:hAnsi="Times New Roman" w:cs="Times New Roman"/>
          <w:i/>
          <w:iCs/>
          <w:noProof/>
          <w:sz w:val="24"/>
          <w:szCs w:val="24"/>
        </w:rPr>
        <w:t>Smuggling of migrants</w:t>
      </w:r>
    </w:p>
    <w:p w:rsidR="00872751" w:rsidRDefault="008477BD">
      <w:pPr>
        <w:autoSpaceDE w:val="0"/>
        <w:autoSpaceDN w:val="0"/>
        <w:adjustRightInd w:val="0"/>
        <w:spacing w:after="120" w:line="240" w:lineRule="auto"/>
        <w:jc w:val="both"/>
        <w:rPr>
          <w:noProof/>
        </w:rPr>
      </w:pPr>
      <w:r>
        <w:rPr>
          <w:rFonts w:ascii="Times New Roman" w:hAnsi="Times New Roman" w:cs="Times New Roman"/>
          <w:noProof/>
          <w:sz w:val="24"/>
          <w:szCs w:val="24"/>
        </w:rPr>
        <w:t xml:space="preserve">The European migrant smuggling centre has reported a continued increase of </w:t>
      </w:r>
      <w:r>
        <w:rPr>
          <w:rFonts w:ascii="Times New Roman" w:hAnsi="Times New Roman" w:cs="Times New Roman"/>
          <w:b/>
          <w:bCs/>
          <w:noProof/>
          <w:sz w:val="24"/>
          <w:szCs w:val="24"/>
        </w:rPr>
        <w:t>migrant smuggling</w:t>
      </w:r>
      <w:r>
        <w:rPr>
          <w:rFonts w:ascii="Times New Roman" w:hAnsi="Times New Roman" w:cs="Times New Roman"/>
          <w:noProof/>
          <w:sz w:val="24"/>
          <w:szCs w:val="24"/>
        </w:rPr>
        <w:t xml:space="preserve"> activities, mostly in the Western Balkans and neighbouring countries, and in secondary movements across the EU. In 2019, Europol contributed to the identification of 14 218 suspects active in migrant trafficking</w:t>
      </w:r>
      <w:r>
        <w:rPr>
          <w:rStyle w:val="FootnoteReference"/>
          <w:rFonts w:ascii="Times New Roman" w:hAnsi="Times New Roman" w:cs="Times New Roman"/>
          <w:noProof/>
          <w:sz w:val="24"/>
          <w:szCs w:val="24"/>
        </w:rPr>
        <w:footnoteReference w:id="155"/>
      </w:r>
      <w:r>
        <w:rPr>
          <w:rFonts w:ascii="Times New Roman" w:hAnsi="Times New Roman" w:cs="Times New Roman"/>
          <w:noProof/>
          <w:sz w:val="24"/>
          <w:szCs w:val="24"/>
        </w:rPr>
        <w:t>. In May 2020 Eurojust launched the Focus Group for Prosecutors on Migrant Smuggling as an important hub to regularly connect the key judicial actors at national level in the EU Member States and to support their joint operational response</w:t>
      </w:r>
      <w:r>
        <w:rPr>
          <w:rStyle w:val="FootnoteReference"/>
          <w:rFonts w:ascii="Times New Roman" w:hAnsi="Times New Roman" w:cs="Times New Roman"/>
          <w:noProof/>
          <w:sz w:val="24"/>
          <w:szCs w:val="24"/>
        </w:rPr>
        <w:footnoteReference w:id="156"/>
      </w:r>
      <w:r>
        <w:rPr>
          <w:rFonts w:ascii="Times New Roman" w:hAnsi="Times New Roman" w:cs="Times New Roman"/>
          <w:noProof/>
          <w:sz w:val="24"/>
          <w:szCs w:val="24"/>
        </w:rPr>
        <w:t xml:space="preserve">. </w:t>
      </w:r>
    </w:p>
    <w:p w:rsidR="00872751" w:rsidRDefault="008477BD">
      <w:pPr>
        <w:spacing w:after="120" w:line="240" w:lineRule="auto"/>
        <w:jc w:val="both"/>
        <w:rPr>
          <w:rFonts w:ascii="Times New Roman" w:hAnsi="Times New Roman"/>
          <w:i/>
          <w:noProof/>
          <w:sz w:val="24"/>
        </w:rPr>
      </w:pPr>
      <w:r>
        <w:rPr>
          <w:rFonts w:ascii="Times New Roman" w:hAnsi="Times New Roman" w:cs="Times New Roman"/>
          <w:i/>
          <w:iCs/>
          <w:noProof/>
          <w:sz w:val="24"/>
          <w:szCs w:val="24"/>
        </w:rPr>
        <w:t>Fight against environmental crime</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Environmental crime covers acts that breach environmental legislation and cause or can cause significant harm or risk to the environment and human health</w:t>
      </w:r>
      <w:r>
        <w:rPr>
          <w:rStyle w:val="FootnoteReference"/>
          <w:rFonts w:ascii="Times New Roman" w:hAnsi="Times New Roman" w:cs="Times New Roman"/>
          <w:noProof/>
          <w:sz w:val="24"/>
          <w:szCs w:val="24"/>
        </w:rPr>
        <w:footnoteReference w:id="157"/>
      </w:r>
      <w:r>
        <w:rPr>
          <w:rFonts w:ascii="Times New Roman" w:hAnsi="Times New Roman" w:cs="Times New Roman"/>
          <w:noProof/>
          <w:sz w:val="24"/>
          <w:szCs w:val="24"/>
        </w:rPr>
        <w:t xml:space="preserve">. Among the most important areas of </w:t>
      </w:r>
      <w:r>
        <w:rPr>
          <w:rFonts w:ascii="Times New Roman" w:hAnsi="Times New Roman" w:cs="Times New Roman"/>
          <w:b/>
          <w:bCs/>
          <w:noProof/>
          <w:sz w:val="24"/>
          <w:szCs w:val="24"/>
        </w:rPr>
        <w:t>environmental crime</w:t>
      </w:r>
      <w:r>
        <w:rPr>
          <w:rFonts w:ascii="Times New Roman" w:hAnsi="Times New Roman" w:cs="Times New Roman"/>
          <w:noProof/>
          <w:sz w:val="24"/>
          <w:szCs w:val="24"/>
        </w:rPr>
        <w:t xml:space="preserve"> are the illegal emission or discharge of substances into air, water or soil, the illegal trade in wildlife, illegal trade in ozone-depleting substances and the illegal shipment or dumping of waste. The recent evaluation of the Environmental Crime Directive</w:t>
      </w:r>
      <w:r>
        <w:rPr>
          <w:rStyle w:val="FootnoteReference"/>
          <w:rFonts w:ascii="Times New Roman" w:hAnsi="Times New Roman" w:cs="Times New Roman"/>
          <w:noProof/>
          <w:sz w:val="24"/>
          <w:szCs w:val="24"/>
        </w:rPr>
        <w:footnoteReference w:id="158"/>
      </w:r>
      <w:r>
        <w:rPr>
          <w:rFonts w:ascii="Times New Roman" w:hAnsi="Times New Roman" w:cs="Times New Roman"/>
          <w:noProof/>
          <w:sz w:val="24"/>
          <w:szCs w:val="24"/>
        </w:rPr>
        <w:t xml:space="preserve"> showed progress in developing </w:t>
      </w:r>
      <w:r>
        <w:rPr>
          <w:rFonts w:ascii="Times New Roman" w:eastAsia="Times New Roman" w:hAnsi="Times New Roman" w:cs="Times New Roman"/>
          <w:noProof/>
          <w:sz w:val="24"/>
          <w:szCs w:val="24"/>
          <w:lang w:eastAsia="en-GB"/>
        </w:rPr>
        <w:t xml:space="preserve">a European framework was not matched by a significant effect on the ground, including in terms of better cross-border cooperation and a more level playing field with regard to sanctions across Member States. In particular, it had not led to more convictions and the imposition of more dissuasive sanctions in the Member States. </w:t>
      </w:r>
      <w:r>
        <w:rPr>
          <w:rFonts w:ascii="Times New Roman" w:hAnsi="Times New Roman" w:cs="Times New Roman"/>
          <w:noProof/>
          <w:sz w:val="24"/>
          <w:szCs w:val="24"/>
        </w:rPr>
        <w:t xml:space="preserve">It has therefore been decided to review the Directive by the end 2021.  </w:t>
      </w:r>
    </w:p>
    <w:p w:rsidR="00872751" w:rsidRDefault="008477BD">
      <w:pPr>
        <w:spacing w:after="120" w:line="240" w:lineRule="auto"/>
        <w:jc w:val="both"/>
        <w:rPr>
          <w:rFonts w:ascii="Times New Roman" w:hAnsi="Times New Roman" w:cs="Times New Roman"/>
          <w:noProof/>
          <w:sz w:val="24"/>
          <w:szCs w:val="24"/>
        </w:rPr>
      </w:pPr>
      <w:r>
        <w:rPr>
          <w:rFonts w:ascii="Times New Roman" w:eastAsia="Times New Roman" w:hAnsi="Times New Roman" w:cs="Times New Roman"/>
          <w:noProof/>
          <w:sz w:val="24"/>
          <w:szCs w:val="24"/>
          <w:lang w:eastAsia="en-GB"/>
        </w:rPr>
        <w:t>On 29-30 October 2019, Eurojust held jointly with the European Network of Prosecutors for Environment (ENPE) the conference “International collaboration &amp; co-operation in the fight against environmental crime”, to raise awareness and to promote cross-border cooperation among prosecutors and other practitioners within and outside the EU on environmental crime.</w:t>
      </w:r>
    </w:p>
    <w:p w:rsidR="00872751" w:rsidRDefault="008477BD">
      <w:pPr>
        <w:spacing w:after="120" w:line="240" w:lineRule="auto"/>
        <w:jc w:val="both"/>
        <w:rPr>
          <w:rFonts w:ascii="Times New Roman" w:hAnsi="Times New Roman"/>
          <w:b/>
          <w:noProof/>
          <w:sz w:val="24"/>
          <w:u w:val="single"/>
        </w:rPr>
      </w:pPr>
      <w:r>
        <w:rPr>
          <w:rFonts w:ascii="Times New Roman" w:hAnsi="Times New Roman" w:cs="Times New Roman"/>
          <w:noProof/>
          <w:sz w:val="24"/>
          <w:szCs w:val="24"/>
        </w:rPr>
        <w:t>The Action plan against wildlife trafficking adopted in 2016 is currently being evaluated. One specific action is a project running until January 2021 targeting wildlife trafficking in and via the EU using the internet and parcel delivery services, with the aim of disrupting and dismantling wildlife cybercrime networks</w:t>
      </w:r>
      <w:r>
        <w:rPr>
          <w:rStyle w:val="FootnoteReference"/>
          <w:rFonts w:ascii="Times New Roman" w:hAnsi="Times New Roman" w:cs="Times New Roman"/>
          <w:noProof/>
          <w:sz w:val="24"/>
          <w:szCs w:val="24"/>
        </w:rPr>
        <w:footnoteReference w:id="159"/>
      </w:r>
      <w:r>
        <w:rPr>
          <w:rFonts w:ascii="Times New Roman" w:hAnsi="Times New Roman" w:cs="Times New Roman"/>
          <w:noProof/>
          <w:sz w:val="24"/>
          <w:szCs w:val="24"/>
        </w:rPr>
        <w:t>.</w:t>
      </w:r>
    </w:p>
    <w:p w:rsidR="00872751" w:rsidRDefault="008477BD">
      <w:pPr>
        <w:pStyle w:val="ListParagraph"/>
        <w:numPr>
          <w:ilvl w:val="0"/>
          <w:numId w:val="43"/>
        </w:numPr>
        <w:spacing w:before="360" w:after="240" w:line="240" w:lineRule="auto"/>
        <w:ind w:left="1077"/>
        <w:rPr>
          <w:rFonts w:ascii="Times New Roman" w:hAnsi="Times New Roman" w:cs="Times New Roman"/>
          <w:b/>
          <w:bCs/>
          <w:noProof/>
          <w:sz w:val="24"/>
          <w:szCs w:val="24"/>
          <w:lang w:eastAsia="en-GB"/>
        </w:rPr>
      </w:pPr>
      <w:r>
        <w:rPr>
          <w:rFonts w:ascii="Times New Roman" w:hAnsi="Times New Roman" w:cs="Times New Roman"/>
          <w:b/>
          <w:bCs/>
          <w:noProof/>
          <w:sz w:val="24"/>
          <w:szCs w:val="24"/>
          <w:lang w:eastAsia="en-GB"/>
        </w:rPr>
        <w:t>A STRONG EUROPEAN SECURITY ECOSYSTEM</w:t>
      </w:r>
    </w:p>
    <w:p w:rsidR="00872751" w:rsidRDefault="008477BD">
      <w:pPr>
        <w:spacing w:after="0" w:line="240" w:lineRule="auto"/>
        <w:jc w:val="both"/>
        <w:rPr>
          <w:rFonts w:ascii="Times New Roman" w:hAnsi="Times New Roman" w:cs="Times New Roman"/>
          <w:noProof/>
          <w:sz w:val="24"/>
          <w:szCs w:val="24"/>
          <w:lang w:eastAsia="en-GB"/>
        </w:rPr>
      </w:pPr>
      <w:r>
        <w:rPr>
          <w:rFonts w:ascii="Times New Roman" w:hAnsi="Times New Roman" w:cs="Times New Roman"/>
          <w:noProof/>
          <w:sz w:val="24"/>
          <w:szCs w:val="24"/>
          <w:lang w:eastAsia="en-GB"/>
        </w:rPr>
        <w:t>A genuine and effective Security Union must be the common endeavour of all parts of society. Governments, law enforcement, the private sector, education and citizens themselves need to be engaged, equipped, and properly connected to build preparedness and resilience for all, particularly the most vulnerable, victims and witnesses.</w:t>
      </w:r>
    </w:p>
    <w:p w:rsidR="00872751" w:rsidRDefault="00872751">
      <w:pPr>
        <w:spacing w:after="0" w:line="240" w:lineRule="auto"/>
        <w:rPr>
          <w:rFonts w:ascii="Times New Roman" w:hAnsi="Times New Roman" w:cs="Times New Roman"/>
          <w:b/>
          <w:noProof/>
          <w:sz w:val="24"/>
          <w:szCs w:val="24"/>
        </w:rPr>
      </w:pPr>
    </w:p>
    <w:p w:rsidR="00872751" w:rsidRDefault="008477BD">
      <w:pPr>
        <w:pStyle w:val="ListParagraph"/>
        <w:numPr>
          <w:ilvl w:val="0"/>
          <w:numId w:val="11"/>
        </w:numPr>
        <w:spacing w:after="120" w:line="240" w:lineRule="auto"/>
        <w:rPr>
          <w:rFonts w:ascii="Times New Roman" w:hAnsi="Times New Roman"/>
          <w:b/>
          <w:i/>
          <w:noProof/>
          <w:sz w:val="24"/>
        </w:rPr>
      </w:pPr>
      <w:r>
        <w:rPr>
          <w:rFonts w:ascii="Times New Roman" w:hAnsi="Times New Roman" w:cs="Times New Roman"/>
          <w:b/>
          <w:bCs/>
          <w:i/>
          <w:iCs/>
          <w:noProof/>
          <w:sz w:val="24"/>
          <w:szCs w:val="24"/>
        </w:rPr>
        <w:lastRenderedPageBreak/>
        <w:t>Cooperation and information exchange</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One of the most critical contributions the EU can make to protecting citizens is through helping those responsible for security to work well together. Cooperation and information sharing are powerful tools to combat crime and terrorism, tackle threats like cybersecurity, and pursue justice. A number of tools have been put into place to support information exchange among law enforcement and judicial authorities.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Today, the Commission is adopting a revised mandate for </w:t>
      </w:r>
      <w:r>
        <w:rPr>
          <w:rFonts w:ascii="Times New Roman" w:hAnsi="Times New Roman" w:cs="Times New Roman"/>
          <w:b/>
          <w:bCs/>
          <w:noProof/>
          <w:sz w:val="24"/>
          <w:szCs w:val="24"/>
        </w:rPr>
        <w:t>Europol</w:t>
      </w:r>
      <w:r>
        <w:rPr>
          <w:rStyle w:val="FootnoteReference"/>
          <w:rFonts w:ascii="Times New Roman" w:hAnsi="Times New Roman" w:cs="Times New Roman"/>
          <w:noProof/>
          <w:sz w:val="24"/>
          <w:szCs w:val="24"/>
        </w:rPr>
        <w:footnoteReference w:id="160"/>
      </w: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to bring a number of targeted improvements to its work. This will enable Europol to deal better with the evolving nature of crimes carried out by means of the internet and with financial crimes. It will reinforce the cooperation with the private sector and align data protection provisions with existing EU rules.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Europol,</w:t>
      </w:r>
      <w:r>
        <w:rPr>
          <w:rFonts w:ascii="Times New Roman" w:hAnsi="Times New Roman" w:cs="Times New Roman"/>
          <w:noProof/>
          <w:sz w:val="24"/>
          <w:szCs w:val="24"/>
        </w:rPr>
        <w:t xml:space="preserve"> </w:t>
      </w:r>
      <w:r>
        <w:rPr>
          <w:rFonts w:ascii="Times New Roman" w:hAnsi="Times New Roman" w:cs="Times New Roman"/>
          <w:b/>
          <w:bCs/>
          <w:noProof/>
          <w:sz w:val="24"/>
          <w:szCs w:val="24"/>
        </w:rPr>
        <w:t>and other EU Agencies such as Frontex, CEPOL and Eurojust,</w:t>
      </w:r>
      <w:r>
        <w:rPr>
          <w:rFonts w:ascii="Times New Roman" w:hAnsi="Times New Roman" w:cs="Times New Roman"/>
          <w:noProof/>
          <w:sz w:val="24"/>
          <w:szCs w:val="24"/>
        </w:rPr>
        <w:t xml:space="preserve"> with the support of the Commission, has continued to develop the EU policy cycle for serious and international organised crime, the “</w:t>
      </w:r>
      <w:r>
        <w:rPr>
          <w:rFonts w:ascii="Times New Roman" w:hAnsi="Times New Roman" w:cs="Times New Roman"/>
          <w:b/>
          <w:bCs/>
          <w:noProof/>
          <w:sz w:val="24"/>
          <w:szCs w:val="24"/>
        </w:rPr>
        <w:t>European Multidisciplinary Platform Against Criminal Threats</w:t>
      </w:r>
      <w:r>
        <w:rPr>
          <w:rFonts w:ascii="Times New Roman" w:hAnsi="Times New Roman" w:cs="Times New Roman"/>
          <w:noProof/>
          <w:sz w:val="24"/>
          <w:szCs w:val="24"/>
        </w:rPr>
        <w:t>” (</w:t>
      </w:r>
      <w:hyperlink r:id="rId27" w:history="1">
        <w:r>
          <w:rPr>
            <w:rFonts w:ascii="Times New Roman" w:hAnsi="Times New Roman" w:cs="Times New Roman"/>
            <w:noProof/>
            <w:sz w:val="24"/>
            <w:szCs w:val="24"/>
          </w:rPr>
          <w:t>EMPACT</w:t>
        </w:r>
      </w:hyperlink>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161"/>
      </w:r>
      <w:r>
        <w:rPr>
          <w:rFonts w:ascii="Times New Roman" w:hAnsi="Times New Roman" w:cs="Times New Roman"/>
          <w:noProof/>
          <w:sz w:val="24"/>
          <w:szCs w:val="24"/>
        </w:rPr>
        <w:t xml:space="preserve">. Cooperation under </w:t>
      </w:r>
      <w:r>
        <w:rPr>
          <w:rFonts w:ascii="Times New Roman" w:hAnsi="Times New Roman" w:cs="Times New Roman"/>
          <w:noProof/>
          <w:sz w:val="24"/>
          <w:szCs w:val="24"/>
          <w:lang w:val="en-GB"/>
        </w:rPr>
        <w:t xml:space="preserve">EMPACT has continued to prove an effective tool against organised crime across Europe, as for instance during “Joint Action Days” </w:t>
      </w:r>
      <w:r>
        <w:rPr>
          <w:rFonts w:ascii="Times New Roman" w:hAnsi="Times New Roman" w:cs="Times New Roman"/>
          <w:noProof/>
          <w:sz w:val="24"/>
          <w:szCs w:val="24"/>
        </w:rPr>
        <w:t>in September, October and November 2020.</w:t>
      </w:r>
      <w:r>
        <w:rPr>
          <w:rStyle w:val="FootnoteReference"/>
          <w:rFonts w:ascii="Times New Roman" w:hAnsi="Times New Roman" w:cs="Times New Roman"/>
          <w:noProof/>
          <w:sz w:val="24"/>
          <w:szCs w:val="24"/>
        </w:rPr>
        <w:footnoteReference w:id="162"/>
      </w:r>
      <w:r>
        <w:rPr>
          <w:rFonts w:ascii="Times New Roman" w:hAnsi="Times New Roman"/>
          <w:noProof/>
          <w:sz w:val="24"/>
          <w:szCs w:val="24"/>
          <w:lang w:val="en-GB"/>
        </w:rPr>
        <w:t xml:space="preserve"> </w:t>
      </w:r>
      <w:r>
        <w:rPr>
          <w:rFonts w:ascii="Times New Roman" w:hAnsi="Times New Roman" w:cs="Times New Roman"/>
          <w:noProof/>
          <w:sz w:val="24"/>
          <w:szCs w:val="24"/>
        </w:rPr>
        <w:t>This is a clear demonstration of the value of cooperation. It also supported less quantifiable goals: an improved intelligence picture, training and capacity building, prevention, cooperation with non-EU partners, and fighting online crime</w:t>
      </w:r>
      <w:r>
        <w:rPr>
          <w:rStyle w:val="FootnoteReference"/>
          <w:rFonts w:ascii="Times New Roman" w:hAnsi="Times New Roman" w:cs="Times New Roman"/>
          <w:noProof/>
          <w:sz w:val="24"/>
          <w:szCs w:val="24"/>
        </w:rPr>
        <w:footnoteReference w:id="163"/>
      </w:r>
      <w:r>
        <w:rPr>
          <w:rFonts w:ascii="Times New Roman" w:hAnsi="Times New Roman" w:cs="Times New Roman"/>
          <w:noProof/>
          <w:sz w:val="24"/>
          <w:szCs w:val="24"/>
        </w:rPr>
        <w:t>.The independent evaluation of the EU Policy Cycle 2018-2021/EMPACT in 2020</w:t>
      </w:r>
      <w:r>
        <w:rPr>
          <w:rFonts w:ascii="Times New Roman" w:hAnsi="Times New Roman" w:cs="Times New Roman"/>
          <w:noProof/>
          <w:sz w:val="24"/>
          <w:szCs w:val="24"/>
          <w:vertAlign w:val="superscript"/>
        </w:rPr>
        <w:footnoteReference w:id="164"/>
      </w:r>
      <w:r>
        <w:rPr>
          <w:rFonts w:ascii="Times New Roman" w:hAnsi="Times New Roman" w:cs="Times New Roman"/>
          <w:noProof/>
          <w:sz w:val="24"/>
          <w:szCs w:val="24"/>
        </w:rPr>
        <w:t xml:space="preserve">, concluded that it was proving increasingly relevant and effective in tackling the most pressing threats posed by organised crime groups. Added value comes by providing a platform for cooperation that enables Member States to achieve better results against serious and organised crime than if they had tackled these issues alone. The evaluation also flagged opportunities and made recommendations to further develop this very useful cooperation tool for the next cycle 2022-2025.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launch an initiative in 2021 for </w:t>
      </w:r>
      <w:r>
        <w:rPr>
          <w:rFonts w:ascii="Times New Roman" w:hAnsi="Times New Roman" w:cs="Times New Roman"/>
          <w:b/>
          <w:bCs/>
          <w:noProof/>
          <w:sz w:val="24"/>
          <w:szCs w:val="24"/>
        </w:rPr>
        <w:t>an EU Police Cooperation Code</w:t>
      </w:r>
      <w:r>
        <w:rPr>
          <w:rFonts w:ascii="Times New Roman" w:hAnsi="Times New Roman" w:cs="Times New Roman"/>
          <w:noProof/>
          <w:sz w:val="24"/>
          <w:szCs w:val="24"/>
        </w:rPr>
        <w:t>, to streamline, enhance, develop, modernise and facilitate law enforcement cooperation between relevant national agencies. This will be a major support to Member States in their fight against serious and organised crime and terrorism.</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Cooperation is also needed between </w:t>
      </w:r>
      <w:r>
        <w:rPr>
          <w:rFonts w:ascii="Times New Roman" w:hAnsi="Times New Roman" w:cs="Times New Roman"/>
          <w:b/>
          <w:bCs/>
          <w:noProof/>
          <w:sz w:val="24"/>
          <w:szCs w:val="24"/>
        </w:rPr>
        <w:t>police and other key law enforcement</w:t>
      </w:r>
      <w:r>
        <w:rPr>
          <w:rFonts w:ascii="Times New Roman" w:hAnsi="Times New Roman" w:cs="Times New Roman"/>
          <w:noProof/>
          <w:sz w:val="24"/>
          <w:szCs w:val="24"/>
        </w:rPr>
        <w:t xml:space="preserve"> </w:t>
      </w:r>
      <w:r>
        <w:rPr>
          <w:rFonts w:ascii="Times New Roman" w:hAnsi="Times New Roman" w:cs="Times New Roman"/>
          <w:b/>
          <w:bCs/>
          <w:noProof/>
          <w:sz w:val="24"/>
          <w:szCs w:val="24"/>
        </w:rPr>
        <w:t>authorities</w:t>
      </w:r>
      <w:r>
        <w:rPr>
          <w:rFonts w:ascii="Times New Roman" w:hAnsi="Times New Roman" w:cs="Times New Roman"/>
          <w:noProof/>
          <w:sz w:val="24"/>
          <w:szCs w:val="24"/>
        </w:rPr>
        <w:t xml:space="preserve">, as well as with agencies such as customs. EU </w:t>
      </w:r>
      <w:r>
        <w:rPr>
          <w:rFonts w:ascii="Times New Roman" w:hAnsi="Times New Roman" w:cs="Times New Roman"/>
          <w:b/>
          <w:bCs/>
          <w:noProof/>
          <w:sz w:val="24"/>
          <w:szCs w:val="24"/>
        </w:rPr>
        <w:t>customs</w:t>
      </w:r>
      <w:r>
        <w:rPr>
          <w:rFonts w:ascii="Times New Roman" w:hAnsi="Times New Roman" w:cs="Times New Roman"/>
          <w:noProof/>
          <w:sz w:val="24"/>
          <w:szCs w:val="24"/>
        </w:rPr>
        <w:t xml:space="preserve"> holds a key role in ensuring external border and supply chain security and thus contributes to the internal security of the European Union. New and evolving threats touch upon the main interlinks between customs and law </w:t>
      </w:r>
      <w:r>
        <w:rPr>
          <w:rFonts w:ascii="Times New Roman" w:hAnsi="Times New Roman" w:cs="Times New Roman"/>
          <w:noProof/>
          <w:sz w:val="24"/>
          <w:szCs w:val="24"/>
        </w:rPr>
        <w:lastRenderedPageBreak/>
        <w:t>enforcement authorities, stressing in particular the “detection/prevention” value of customs controls and the lead role of customs regarding goods. The Commission has been supporting and encouraging cooperation between Customs and Europol</w:t>
      </w:r>
      <w:r>
        <w:rPr>
          <w:rStyle w:val="FootnoteReference"/>
          <w:rFonts w:ascii="Times New Roman" w:hAnsi="Times New Roman" w:cs="Times New Roman"/>
          <w:noProof/>
          <w:sz w:val="24"/>
          <w:szCs w:val="24"/>
        </w:rPr>
        <w:footnoteReference w:id="165"/>
      </w:r>
      <w:r>
        <w:rPr>
          <w:rFonts w:ascii="Times New Roman" w:hAnsi="Times New Roman" w:cs="Times New Roman"/>
          <w:noProof/>
          <w:sz w:val="24"/>
          <w:szCs w:val="24"/>
        </w:rPr>
        <w:t>, with a direct impact on action in areas including firearms, environmental crime, criminal financing, and cyber. Customs authorities currently participate in several Europol-led actions against serious and international organised crime</w:t>
      </w:r>
      <w:r>
        <w:rPr>
          <w:rStyle w:val="FootnoteReference"/>
          <w:rFonts w:ascii="Times New Roman" w:hAnsi="Times New Roman" w:cs="Times New Roman"/>
          <w:noProof/>
          <w:sz w:val="24"/>
          <w:szCs w:val="24"/>
        </w:rPr>
        <w:footnoteReference w:id="166"/>
      </w:r>
      <w:r>
        <w:rPr>
          <w:rFonts w:ascii="Times New Roman" w:hAnsi="Times New Roman" w:cs="Times New Roman"/>
          <w:noProof/>
          <w:sz w:val="24"/>
          <w:szCs w:val="24"/>
        </w:rPr>
        <w:t>, as well as in CEPOL trainings. These activities help to promote and develop further inter-agency cooperation and enhance the interaction between the key players.</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b/>
          <w:bCs/>
          <w:noProof/>
          <w:sz w:val="24"/>
          <w:szCs w:val="24"/>
        </w:rPr>
        <w:t>Strong and efficient information systems</w:t>
      </w:r>
      <w:r>
        <w:rPr>
          <w:rFonts w:ascii="Times New Roman" w:hAnsi="Times New Roman" w:cs="Times New Roman"/>
          <w:noProof/>
          <w:sz w:val="24"/>
          <w:szCs w:val="24"/>
        </w:rPr>
        <w:t xml:space="preserve"> are indispensable to better exchange information between judicial and law enforcement authorities across the EU. The </w:t>
      </w:r>
      <w:r>
        <w:rPr>
          <w:rFonts w:ascii="Times New Roman" w:hAnsi="Times New Roman" w:cs="Times New Roman"/>
          <w:b/>
          <w:bCs/>
          <w:noProof/>
          <w:sz w:val="24"/>
          <w:szCs w:val="24"/>
        </w:rPr>
        <w:t>Schengen Information System</w:t>
      </w:r>
      <w:r>
        <w:rPr>
          <w:rFonts w:ascii="Times New Roman" w:hAnsi="Times New Roman" w:cs="Times New Roman"/>
          <w:noProof/>
          <w:sz w:val="24"/>
          <w:szCs w:val="24"/>
        </w:rPr>
        <w:t xml:space="preserve"> </w:t>
      </w:r>
      <w:r>
        <w:rPr>
          <w:rFonts w:ascii="Times New Roman" w:hAnsi="Times New Roman" w:cs="Times New Roman"/>
          <w:b/>
          <w:bCs/>
          <w:noProof/>
          <w:sz w:val="24"/>
          <w:szCs w:val="24"/>
        </w:rPr>
        <w:t>(SIS)</w:t>
      </w:r>
      <w:r>
        <w:rPr>
          <w:rFonts w:ascii="Times New Roman" w:hAnsi="Times New Roman" w:cs="Times New Roman"/>
          <w:noProof/>
          <w:sz w:val="24"/>
          <w:szCs w:val="24"/>
        </w:rPr>
        <w:t xml:space="preserve"> has also been reinforced through updated rules which address potential gaps by establishing additional categories of alerts, by expanding the list of objects for which alerts can be entered as well as by permitting new types of data to be entered</w:t>
      </w:r>
      <w:r>
        <w:rPr>
          <w:rStyle w:val="FootnoteReference"/>
          <w:rFonts w:ascii="Times New Roman" w:hAnsi="Times New Roman" w:cs="Times New Roman"/>
          <w:noProof/>
          <w:sz w:val="20"/>
          <w:szCs w:val="20"/>
        </w:rPr>
        <w:footnoteReference w:id="167"/>
      </w:r>
      <w:r>
        <w:rPr>
          <w:rFonts w:ascii="Times New Roman" w:hAnsi="Times New Roman" w:cs="Times New Roman"/>
          <w:noProof/>
          <w:sz w:val="20"/>
          <w:szCs w:val="20"/>
        </w:rPr>
        <w:t>.</w:t>
      </w:r>
      <w:r>
        <w:rPr>
          <w:rFonts w:ascii="Times New Roman" w:hAnsi="Times New Roman" w:cs="Times New Roman"/>
          <w:noProof/>
          <w:sz w:val="24"/>
          <w:szCs w:val="24"/>
        </w:rPr>
        <w:t xml:space="preserve"> The new rules entered into force on 28 December 2018 and should be completely operational by December 2021</w:t>
      </w:r>
      <w:r>
        <w:rPr>
          <w:rStyle w:val="FootnoteReference"/>
          <w:rFonts w:ascii="Times New Roman" w:hAnsi="Times New Roman" w:cs="Times New Roman"/>
          <w:noProof/>
          <w:sz w:val="24"/>
          <w:szCs w:val="24"/>
        </w:rPr>
        <w:footnoteReference w:id="168"/>
      </w:r>
      <w:r>
        <w:rPr>
          <w:rFonts w:ascii="Times New Roman" w:hAnsi="Times New Roman" w:cs="Times New Roman"/>
          <w:noProof/>
          <w:sz w:val="24"/>
          <w:szCs w:val="24"/>
        </w:rPr>
        <w:t xml:space="preserv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Similarly, in 2019 the </w:t>
      </w:r>
      <w:r>
        <w:rPr>
          <w:rFonts w:ascii="Times New Roman" w:hAnsi="Times New Roman" w:cs="Times New Roman"/>
          <w:b/>
          <w:bCs/>
          <w:noProof/>
          <w:sz w:val="24"/>
          <w:szCs w:val="24"/>
        </w:rPr>
        <w:t xml:space="preserve">European Criminal Records Information System (ECRIS) </w:t>
      </w:r>
      <w:r>
        <w:rPr>
          <w:rFonts w:ascii="Times New Roman" w:hAnsi="Times New Roman" w:cs="Times New Roman"/>
          <w:noProof/>
          <w:sz w:val="24"/>
          <w:szCs w:val="24"/>
        </w:rPr>
        <w:t>was supplemented by an additional system allowing for an efficient exchange of the criminal records information on third country nationals convicted in the EU (ECRIS-TCN). The works on the technical development and implementation of this new centralized system are currently ongoing and its entry into force is expected in 2023.</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On 24 July 2020, the Commission adopted the Passenger Name Record (PNR) Directive Review Report</w:t>
      </w:r>
      <w:r>
        <w:rPr>
          <w:rStyle w:val="FootnoteReference"/>
          <w:rFonts w:ascii="Times New Roman" w:hAnsi="Times New Roman" w:cs="Times New Roman"/>
          <w:noProof/>
          <w:sz w:val="24"/>
          <w:szCs w:val="24"/>
        </w:rPr>
        <w:footnoteReference w:id="169"/>
      </w:r>
      <w:r>
        <w:rPr>
          <w:rFonts w:ascii="Times New Roman" w:hAnsi="Times New Roman" w:cs="Times New Roman"/>
          <w:noProof/>
          <w:sz w:val="24"/>
          <w:szCs w:val="24"/>
        </w:rPr>
        <w:t>, reviewing the first two years of application of the PNR Directive.</w:t>
      </w:r>
      <w:r>
        <w:rPr>
          <w:rStyle w:val="FootnoteReference"/>
          <w:rFonts w:ascii="Times New Roman" w:hAnsi="Times New Roman" w:cs="Times New Roman"/>
          <w:noProof/>
          <w:sz w:val="24"/>
          <w:szCs w:val="24"/>
        </w:rPr>
        <w:footnoteReference w:id="170"/>
      </w:r>
      <w:r>
        <w:rPr>
          <w:rFonts w:ascii="Times New Roman" w:hAnsi="Times New Roman" w:cs="Times New Roman"/>
          <w:noProof/>
          <w:sz w:val="24"/>
          <w:szCs w:val="24"/>
        </w:rPr>
        <w:t xml:space="preserve"> This shows that the development of the EU-wide PNR system is well under way. The use of PNR data is essential in the fight against terrorism, serious crime and organised crimes, and has already delivered tangible results. Only one Member</w:t>
      </w:r>
      <w:r>
        <w:rPr>
          <w:rFonts w:ascii="Times New Roman" w:hAnsi="Times New Roman" w:cs="Times New Roman"/>
          <w:b/>
          <w:bCs/>
          <w:noProof/>
          <w:sz w:val="24"/>
          <w:szCs w:val="24"/>
        </w:rPr>
        <w:t xml:space="preserve"> </w:t>
      </w:r>
      <w:r>
        <w:rPr>
          <w:rFonts w:ascii="Times New Roman" w:hAnsi="Times New Roman" w:cs="Times New Roman"/>
          <w:noProof/>
          <w:sz w:val="24"/>
          <w:szCs w:val="24"/>
        </w:rPr>
        <w:t>State has not yet notified the Commission of full transposition</w:t>
      </w:r>
      <w:r>
        <w:rPr>
          <w:rStyle w:val="FootnoteReference"/>
          <w:rFonts w:ascii="Times New Roman" w:hAnsi="Times New Roman" w:cs="Times New Roman"/>
          <w:noProof/>
          <w:sz w:val="24"/>
          <w:szCs w:val="24"/>
        </w:rPr>
        <w:footnoteReference w:id="171"/>
      </w:r>
      <w:r>
        <w:rPr>
          <w:rFonts w:ascii="Times New Roman" w:hAnsi="Times New Roman" w:cs="Times New Roman"/>
          <w:noProof/>
          <w:sz w:val="24"/>
          <w:szCs w:val="24"/>
        </w:rPr>
        <w:t>. On 3 December 2020 the Commission sent a Reasoned Opinion for failing to notify full transposition of the Directive.</w:t>
      </w:r>
    </w:p>
    <w:p w:rsidR="00872751" w:rsidRDefault="008477BD">
      <w:pPr>
        <w:spacing w:after="120" w:line="240" w:lineRule="auto"/>
        <w:jc w:val="both"/>
        <w:rPr>
          <w:rFonts w:ascii="Times New Roman" w:hAnsi="Times New Roman"/>
          <w:b/>
          <w:noProof/>
          <w:sz w:val="24"/>
        </w:rPr>
      </w:pPr>
      <w:r>
        <w:rPr>
          <w:rFonts w:ascii="Times New Roman" w:hAnsi="Times New Roman" w:cs="Times New Roman"/>
          <w:noProof/>
          <w:sz w:val="24"/>
          <w:szCs w:val="24"/>
        </w:rPr>
        <w:t xml:space="preserve">On 9 September 2020 the Commission published the evaluation of the </w:t>
      </w:r>
      <w:r>
        <w:rPr>
          <w:rFonts w:ascii="Times New Roman" w:hAnsi="Times New Roman" w:cs="Times New Roman"/>
          <w:b/>
          <w:bCs/>
          <w:noProof/>
          <w:sz w:val="24"/>
          <w:szCs w:val="24"/>
        </w:rPr>
        <w:t>Advance Passenger Information Directive</w:t>
      </w:r>
      <w:r>
        <w:rPr>
          <w:rFonts w:ascii="Times New Roman" w:hAnsi="Times New Roman" w:cs="Times New Roman"/>
          <w:noProof/>
          <w:sz w:val="24"/>
          <w:szCs w:val="24"/>
        </w:rPr>
        <w:t xml:space="preserve"> of 2004</w:t>
      </w:r>
      <w:r>
        <w:rPr>
          <w:rStyle w:val="FootnoteReference"/>
          <w:rFonts w:ascii="Times New Roman" w:hAnsi="Times New Roman" w:cs="Times New Roman"/>
          <w:noProof/>
          <w:sz w:val="24"/>
          <w:szCs w:val="24"/>
        </w:rPr>
        <w:footnoteReference w:id="172"/>
      </w:r>
      <w:r>
        <w:rPr>
          <w:rFonts w:ascii="Times New Roman" w:hAnsi="Times New Roman" w:cs="Times New Roman"/>
          <w:noProof/>
          <w:sz w:val="24"/>
          <w:szCs w:val="24"/>
        </w:rPr>
        <w:t xml:space="preserve">. The evaluation highlights a number of shortcomings and inconsistencies, which will be considered in the upcoming revision of the current legislative framework. Another key instrument under further examination is the </w:t>
      </w:r>
      <w:r>
        <w:rPr>
          <w:rFonts w:ascii="Times New Roman" w:hAnsi="Times New Roman"/>
          <w:b/>
          <w:bCs/>
          <w:noProof/>
          <w:sz w:val="24"/>
          <w:szCs w:val="24"/>
        </w:rPr>
        <w:t>Prüm Decisions</w:t>
      </w:r>
      <w:r>
        <w:rPr>
          <w:rStyle w:val="FootnoteReference"/>
          <w:rFonts w:ascii="Times New Roman" w:hAnsi="Times New Roman" w:cs="Times New Roman"/>
          <w:noProof/>
          <w:sz w:val="24"/>
          <w:szCs w:val="24"/>
        </w:rPr>
        <w:footnoteReference w:id="173"/>
      </w:r>
      <w:r>
        <w:rPr>
          <w:rFonts w:ascii="Times New Roman" w:hAnsi="Times New Roman" w:cs="Times New Roman"/>
          <w:noProof/>
          <w:sz w:val="24"/>
          <w:szCs w:val="24"/>
        </w:rPr>
        <w:t xml:space="preserve">, to be considered in the light of operational, technological, forensic and data protection developments.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 xml:space="preserve">Cooperation must also go beyond the EU to engage with </w:t>
      </w:r>
      <w:r>
        <w:rPr>
          <w:rFonts w:ascii="Times New Roman" w:hAnsi="Times New Roman" w:cs="Times New Roman"/>
          <w:b/>
          <w:bCs/>
          <w:noProof/>
          <w:sz w:val="24"/>
          <w:szCs w:val="24"/>
        </w:rPr>
        <w:t>key third countries on tackling terrorism and organised crime</w:t>
      </w:r>
      <w:r>
        <w:rPr>
          <w:rFonts w:ascii="Times New Roman" w:hAnsi="Times New Roman" w:cs="Times New Roman"/>
          <w:noProof/>
          <w:sz w:val="24"/>
          <w:szCs w:val="24"/>
        </w:rPr>
        <w:t>. On 13 May 2020 the Council authorised the opening of negotiations with New Zealand concerning the exchange of personal data between Europol and New Zealand. Negotiations with Turkey are ongoing, however, no progress has been made on negotiations with Algeria, Egypt, Israel, Jordan, Lebanon, Morocco, Tunisia on the exchange of personal data for fighting serious crime and terrorism. In addition, on 19 November 2020, the Commission adopted a Recommendation for a Council Decision authorising the opening of negotiations for an Agreement between the European Union and ten third countries on cooperation between Eurojust and those third countries regarding the exchange of personal data</w:t>
      </w:r>
      <w:r>
        <w:rPr>
          <w:rStyle w:val="FootnoteReference"/>
          <w:rFonts w:ascii="Times New Roman" w:hAnsi="Times New Roman" w:cs="Times New Roman"/>
          <w:noProof/>
          <w:sz w:val="24"/>
          <w:szCs w:val="24"/>
        </w:rPr>
        <w:footnoteReference w:id="174"/>
      </w:r>
      <w:r>
        <w:rPr>
          <w:rFonts w:ascii="Times New Roman" w:hAnsi="Times New Roman" w:cs="Times New Roman"/>
          <w:noProof/>
          <w:sz w:val="24"/>
          <w:szCs w:val="24"/>
        </w:rPr>
        <w:t>.</w:t>
      </w:r>
    </w:p>
    <w:p w:rsidR="00872751" w:rsidRDefault="008477BD">
      <w:pPr>
        <w:spacing w:after="120" w:line="240" w:lineRule="auto"/>
        <w:jc w:val="both"/>
        <w:rPr>
          <w:rFonts w:ascii="Times New Roman" w:hAnsi="Times New Roman"/>
          <w:noProof/>
          <w:sz w:val="24"/>
          <w:lang w:val="en-GB"/>
        </w:rPr>
      </w:pPr>
      <w:r>
        <w:rPr>
          <w:rFonts w:ascii="Times New Roman" w:hAnsi="Times New Roman" w:cs="Times New Roman"/>
          <w:noProof/>
          <w:sz w:val="24"/>
          <w:szCs w:val="24"/>
        </w:rPr>
        <w:t xml:space="preserve">As regards </w:t>
      </w:r>
      <w:r>
        <w:rPr>
          <w:rFonts w:ascii="Times New Roman" w:hAnsi="Times New Roman" w:cs="Times New Roman"/>
          <w:b/>
          <w:bCs/>
          <w:noProof/>
          <w:sz w:val="24"/>
          <w:szCs w:val="24"/>
        </w:rPr>
        <w:t>international cooperation on the exchange of PNR</w:t>
      </w:r>
      <w:r>
        <w:rPr>
          <w:rFonts w:ascii="Times New Roman" w:hAnsi="Times New Roman" w:cs="Times New Roman"/>
          <w:noProof/>
          <w:sz w:val="24"/>
          <w:szCs w:val="24"/>
        </w:rPr>
        <w:t xml:space="preserve"> for the purposes of fighting terrorism and serious crime, the Council authorised the opening of negotiations with Japan for the signature of a PNR agreement.</w:t>
      </w:r>
      <w:r>
        <w:rPr>
          <w:rStyle w:val="FootnoteReference"/>
          <w:rFonts w:ascii="Times New Roman" w:hAnsi="Times New Roman" w:cs="Times New Roman"/>
          <w:noProof/>
          <w:sz w:val="24"/>
          <w:szCs w:val="24"/>
        </w:rPr>
        <w:footnoteReference w:id="175"/>
      </w:r>
      <w:r>
        <w:rPr>
          <w:rFonts w:ascii="Times New Roman" w:hAnsi="Times New Roman" w:cs="Times New Roman"/>
          <w:noProof/>
          <w:sz w:val="24"/>
          <w:szCs w:val="24"/>
        </w:rPr>
        <w:t xml:space="preserve"> Meanwhile, the </w:t>
      </w:r>
      <w:r>
        <w:rPr>
          <w:rFonts w:ascii="Times New Roman" w:hAnsi="Times New Roman" w:cs="Times New Roman"/>
          <w:b/>
          <w:bCs/>
          <w:noProof/>
          <w:sz w:val="24"/>
          <w:szCs w:val="24"/>
        </w:rPr>
        <w:t>joint evaluations of the existing EU-US and EU-Australia agreements</w:t>
      </w:r>
      <w:r>
        <w:rPr>
          <w:rFonts w:ascii="Times New Roman" w:hAnsi="Times New Roman" w:cs="Times New Roman"/>
          <w:noProof/>
          <w:sz w:val="24"/>
          <w:szCs w:val="24"/>
        </w:rPr>
        <w:t xml:space="preserve"> </w:t>
      </w:r>
      <w:r>
        <w:rPr>
          <w:i/>
          <w:iCs/>
          <w:noProof/>
          <w:color w:val="1F497D"/>
          <w:lang w:val="en-GB"/>
        </w:rPr>
        <w:t xml:space="preserve">are being finalised. </w:t>
      </w:r>
      <w:r>
        <w:rPr>
          <w:rFonts w:ascii="Times New Roman" w:hAnsi="Times New Roman" w:cs="Times New Roman"/>
          <w:noProof/>
          <w:sz w:val="24"/>
          <w:szCs w:val="24"/>
        </w:rPr>
        <w:t>The Commission has also launched a process to review its current overall approach on PNR data transfers to third countries.</w:t>
      </w:r>
      <w:r>
        <w:rPr>
          <w:rStyle w:val="FootnoteReference"/>
          <w:rFonts w:ascii="Times New Roman" w:hAnsi="Times New Roman" w:cs="Times New Roman"/>
          <w:noProof/>
          <w:sz w:val="24"/>
          <w:szCs w:val="24"/>
        </w:rPr>
        <w:footnoteReference w:id="176"/>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is also working with the UN to increase the capacity of partner countries to prevent, detect, investigate and prosecute terrorist offences and other serious crimes, by collecting and analysing passenger data, both API and PNR.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Commission engaged in the process of facilitating transfers of PNR data in compatibility with EU legal requirements in the framework of the new PNR standards</w:t>
      </w:r>
      <w:r>
        <w:rPr>
          <w:rStyle w:val="FootnoteReference"/>
          <w:rFonts w:ascii="Times New Roman" w:hAnsi="Times New Roman" w:cs="Times New Roman"/>
          <w:noProof/>
          <w:sz w:val="24"/>
          <w:szCs w:val="24"/>
        </w:rPr>
        <w:footnoteReference w:id="177"/>
      </w:r>
      <w:r>
        <w:rPr>
          <w:rFonts w:ascii="Times New Roman" w:hAnsi="Times New Roman" w:cs="Times New Roman"/>
          <w:noProof/>
          <w:sz w:val="24"/>
          <w:szCs w:val="24"/>
        </w:rPr>
        <w:t xml:space="preserve"> adopted by the International Civil Aviation Organisation (ICAO).</w:t>
      </w:r>
      <w:r>
        <w:rPr>
          <w:rStyle w:val="FootnoteReference"/>
          <w:rFonts w:ascii="Times New Roman" w:hAnsi="Times New Roman" w:cs="Times New Roman"/>
          <w:noProof/>
          <w:sz w:val="24"/>
          <w:szCs w:val="24"/>
        </w:rPr>
        <w:footnoteReference w:id="178"/>
      </w:r>
      <w:r>
        <w:rPr>
          <w:rFonts w:ascii="Times New Roman" w:hAnsi="Times New Roman" w:cs="Times New Roman"/>
          <w:noProof/>
          <w:sz w:val="24"/>
          <w:szCs w:val="24"/>
        </w:rPr>
        <w:t xml:space="preserve">. On 23 June 2020, the ICAO Council adopted the new Standards and Recommended Practices (SARPs) on PNR </w:t>
      </w:r>
      <w:r>
        <w:rPr>
          <w:rStyle w:val="FootnoteReference"/>
          <w:rFonts w:ascii="Times New Roman" w:hAnsi="Times New Roman" w:cs="Times New Roman"/>
          <w:noProof/>
          <w:sz w:val="24"/>
          <w:szCs w:val="24"/>
        </w:rPr>
        <w:footnoteReference w:id="179"/>
      </w:r>
      <w:r>
        <w:rPr>
          <w:rFonts w:ascii="Times New Roman" w:hAnsi="Times New Roman" w:cs="Times New Roman"/>
          <w:noProof/>
          <w:sz w:val="24"/>
          <w:szCs w:val="24"/>
        </w:rPr>
        <w:t xml:space="preserve"> and its contracting parties have until 30 January 2021 to inform ICAO of any differences between their national regulation practices and the new PNR SARPs. </w:t>
      </w:r>
    </w:p>
    <w:p w:rsidR="00872751" w:rsidRDefault="00872751">
      <w:pPr>
        <w:spacing w:after="120" w:line="240" w:lineRule="auto"/>
        <w:jc w:val="both"/>
        <w:rPr>
          <w:rFonts w:ascii="Times New Roman" w:hAnsi="Times New Roman" w:cs="Times New Roman"/>
          <w:noProof/>
          <w:sz w:val="24"/>
          <w:szCs w:val="24"/>
        </w:rPr>
      </w:pPr>
    </w:p>
    <w:p w:rsidR="00872751" w:rsidRDefault="008477BD">
      <w:pPr>
        <w:spacing w:after="120" w:line="240" w:lineRule="auto"/>
        <w:jc w:val="both"/>
        <w:rPr>
          <w:rFonts w:ascii="Times New Roman" w:hAnsi="Times New Roman"/>
          <w:b/>
          <w:i/>
          <w:noProof/>
          <w:sz w:val="24"/>
          <w:lang w:val="en-IE"/>
        </w:rPr>
      </w:pPr>
      <w:r>
        <w:rPr>
          <w:rFonts w:ascii="Times New Roman" w:hAnsi="Times New Roman" w:cs="Times New Roman"/>
          <w:b/>
          <w:bCs/>
          <w:i/>
          <w:iCs/>
          <w:noProof/>
          <w:sz w:val="24"/>
          <w:szCs w:val="24"/>
          <w:lang w:val="en-IE"/>
        </w:rPr>
        <w:t xml:space="preserve">2. The contribution of strong external borders </w:t>
      </w:r>
    </w:p>
    <w:p w:rsidR="00872751" w:rsidRDefault="008477BD">
      <w:pPr>
        <w:spacing w:after="120" w:line="240" w:lineRule="auto"/>
        <w:jc w:val="both"/>
        <w:rPr>
          <w:rFonts w:ascii="Times New Roman" w:hAnsi="Times New Roman" w:cs="Times New Roman"/>
          <w:noProof/>
          <w:sz w:val="24"/>
          <w:szCs w:val="24"/>
          <w:lang w:val="en-IE"/>
        </w:rPr>
      </w:pPr>
      <w:r>
        <w:rPr>
          <w:rFonts w:ascii="Times New Roman" w:hAnsi="Times New Roman" w:cs="Times New Roman"/>
          <w:noProof/>
          <w:sz w:val="24"/>
          <w:szCs w:val="24"/>
          <w:lang w:val="en-IE"/>
        </w:rPr>
        <w:t>Modern and efficient management of external borders is key to ensure the security of EU citizens. Engaging all relevant actors to make the most of security at the border and provide them with adequate tools can have a real impact on the prevention of cross-border crime and terrorism. The New Pact on Migration and Asylum</w:t>
      </w:r>
      <w:r>
        <w:rPr>
          <w:rStyle w:val="FootnoteReference"/>
          <w:rFonts w:ascii="Times New Roman" w:hAnsi="Times New Roman" w:cs="Times New Roman"/>
          <w:noProof/>
          <w:sz w:val="24"/>
          <w:szCs w:val="24"/>
          <w:lang w:val="en-IE"/>
        </w:rPr>
        <w:footnoteReference w:id="180"/>
      </w:r>
      <w:r>
        <w:rPr>
          <w:rFonts w:ascii="Times New Roman" w:hAnsi="Times New Roman" w:cs="Times New Roman"/>
          <w:noProof/>
          <w:sz w:val="24"/>
          <w:szCs w:val="24"/>
          <w:lang w:val="en-IE"/>
        </w:rPr>
        <w:t xml:space="preserve"> also highlighted the need for robust and fair management of external borders, including identity, health and security checks. This is part of the comprehensive approach, showing how policy on migration, asylum, integration and border management depends on progress on all fronts.</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New Pact underlined that an effective Schengen area was indispensable to migration policy, and it also has profound security implications. This was discussed at the first </w:t>
      </w:r>
      <w:r>
        <w:rPr>
          <w:rFonts w:ascii="Times New Roman" w:hAnsi="Times New Roman"/>
          <w:noProof/>
          <w:sz w:val="24"/>
          <w:szCs w:val="24"/>
        </w:rPr>
        <w:lastRenderedPageBreak/>
        <w:t>Schengen Forum</w:t>
      </w:r>
      <w:r>
        <w:rPr>
          <w:rFonts w:ascii="Times New Roman" w:hAnsi="Times New Roman" w:cs="Times New Roman"/>
          <w:noProof/>
          <w:sz w:val="24"/>
          <w:szCs w:val="24"/>
        </w:rPr>
        <w:t xml:space="preserve"> held on 30 November 2020. Representatives from the Member States and European Parliament agreed of the importance of an effective Schengen delivering for citizens in terms of free movement, and also in terms of security.</w:t>
      </w:r>
      <w:r>
        <w:rPr>
          <w:noProof/>
        </w:rPr>
        <w:t xml:space="preserve"> </w:t>
      </w:r>
      <w:r>
        <w:rPr>
          <w:rFonts w:ascii="Times New Roman" w:hAnsi="Times New Roman" w:cs="Times New Roman"/>
          <w:noProof/>
          <w:sz w:val="24"/>
          <w:szCs w:val="24"/>
        </w:rPr>
        <w:t xml:space="preserve">This process will feed into a new Schengen Strategy to be put forward in 2021. The </w:t>
      </w:r>
      <w:r>
        <w:rPr>
          <w:rFonts w:ascii="Times New Roman" w:hAnsi="Times New Roman"/>
          <w:noProof/>
          <w:sz w:val="24"/>
          <w:szCs w:val="24"/>
        </w:rPr>
        <w:t xml:space="preserve">Schengen </w:t>
      </w:r>
      <w:r>
        <w:rPr>
          <w:rFonts w:ascii="Times New Roman" w:hAnsi="Times New Roman" w:cs="Times New Roman"/>
          <w:noProof/>
          <w:sz w:val="24"/>
          <w:szCs w:val="24"/>
        </w:rPr>
        <w:t>Evaluation and Monitoring Mechanism is a key tool to ensure mutual trust and to guaranteeing a better and coherent implementation of the Schengen acquis, including its security implications.</w:t>
      </w:r>
      <w:r>
        <w:rPr>
          <w:rFonts w:ascii="Times New Roman" w:hAnsi="Times New Roman"/>
          <w:noProof/>
          <w:sz w:val="24"/>
          <w:szCs w:val="24"/>
        </w:rPr>
        <w:t xml:space="preserve"> </w:t>
      </w:r>
      <w:r>
        <w:rPr>
          <w:rFonts w:ascii="Times New Roman" w:hAnsi="Times New Roman" w:cs="Times New Roman"/>
          <w:noProof/>
          <w:sz w:val="24"/>
          <w:szCs w:val="24"/>
        </w:rPr>
        <w:t>This was an important theme of the report adopted on 25</w:t>
      </w:r>
      <w:r>
        <w:rPr>
          <w:rFonts w:ascii="Times New Roman" w:hAnsi="Times New Roman"/>
          <w:noProof/>
          <w:sz w:val="24"/>
          <w:szCs w:val="24"/>
        </w:rPr>
        <w:t xml:space="preserve"> November</w:t>
      </w:r>
      <w:r>
        <w:rPr>
          <w:rStyle w:val="FootnoteReference"/>
          <w:rFonts w:ascii="Times New Roman" w:hAnsi="Times New Roman" w:cs="Times New Roman"/>
          <w:noProof/>
          <w:sz w:val="24"/>
          <w:szCs w:val="24"/>
        </w:rPr>
        <w:footnoteReference w:id="181"/>
      </w:r>
      <w:r>
        <w:rPr>
          <w:rFonts w:ascii="Times New Roman" w:hAnsi="Times New Roman" w:cs="Times New Roman"/>
          <w:noProof/>
          <w:sz w:val="24"/>
          <w:szCs w:val="24"/>
        </w:rPr>
        <w:t>,</w:t>
      </w:r>
      <w:r>
        <w:rPr>
          <w:rFonts w:ascii="Times New Roman" w:hAnsi="Times New Roman"/>
          <w:noProof/>
          <w:sz w:val="24"/>
          <w:szCs w:val="24"/>
        </w:rPr>
        <w:t xml:space="preserve"> providing a state of play of the implementation of the Schengen acquis,</w:t>
      </w:r>
      <w:r>
        <w:rPr>
          <w:noProof/>
        </w:rPr>
        <w:t xml:space="preserve"> </w:t>
      </w:r>
      <w:r>
        <w:rPr>
          <w:rFonts w:ascii="Times New Roman" w:hAnsi="Times New Roman"/>
          <w:noProof/>
          <w:sz w:val="24"/>
          <w:szCs w:val="24"/>
        </w:rPr>
        <w:t>and taking stock of the functioning of the Schengen Evaluation and Monitoring Mechanism</w:t>
      </w:r>
      <w:r>
        <w:rPr>
          <w:rFonts w:ascii="Times New Roman" w:hAnsi="Times New Roman" w:cs="Times New Roman"/>
          <w:noProof/>
          <w:sz w:val="24"/>
          <w:szCs w:val="24"/>
        </w:rPr>
        <w:t>.</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IE"/>
        </w:rPr>
        <w:t xml:space="preserve">The </w:t>
      </w:r>
      <w:r>
        <w:rPr>
          <w:rFonts w:ascii="Times New Roman" w:hAnsi="Times New Roman" w:cs="Times New Roman"/>
          <w:b/>
          <w:bCs/>
          <w:noProof/>
          <w:sz w:val="24"/>
          <w:szCs w:val="24"/>
          <w:lang w:val="en-IE"/>
        </w:rPr>
        <w:t>Interoperability Regulations</w:t>
      </w:r>
      <w:r>
        <w:rPr>
          <w:rStyle w:val="FootnoteReference"/>
          <w:rFonts w:ascii="Times New Roman" w:hAnsi="Times New Roman" w:cs="Times New Roman"/>
          <w:noProof/>
          <w:sz w:val="24"/>
          <w:szCs w:val="24"/>
          <w:lang w:val="en-IE"/>
        </w:rPr>
        <w:footnoteReference w:id="182"/>
      </w:r>
      <w:r>
        <w:rPr>
          <w:rFonts w:ascii="Times New Roman" w:hAnsi="Times New Roman" w:cs="Times New Roman"/>
          <w:noProof/>
          <w:sz w:val="24"/>
          <w:szCs w:val="24"/>
          <w:lang w:val="en-IE"/>
        </w:rPr>
        <w:t xml:space="preserve"> are designed to make existing and new or upgraded the EU information systems for security, border and migration management work together in a smarter and more efficient way. Interoperability between EU information systems will improve the effectiveness and efficiency of checks at the external borders, contribute to the prevention of irregular immigration and also to a high level of security. It will provide a valuable extra tool for law enforcement and border authorities</w:t>
      </w:r>
      <w:r>
        <w:rPr>
          <w:rStyle w:val="FootnoteReference"/>
          <w:rFonts w:ascii="Times New Roman" w:hAnsi="Times New Roman" w:cs="Times New Roman"/>
          <w:noProof/>
          <w:sz w:val="24"/>
          <w:szCs w:val="24"/>
        </w:rPr>
        <w:footnoteReference w:id="183"/>
      </w:r>
      <w:r>
        <w:rPr>
          <w:rFonts w:ascii="Times New Roman" w:hAnsi="Times New Roman" w:cs="Times New Roman"/>
          <w:noProof/>
          <w:sz w:val="24"/>
          <w:szCs w:val="24"/>
        </w:rPr>
        <w:t xml:space="preserve">. </w:t>
      </w:r>
      <w:r>
        <w:rPr>
          <w:rFonts w:ascii="Times New Roman" w:hAnsi="Times New Roman" w:cs="Times New Roman"/>
          <w:noProof/>
          <w:sz w:val="24"/>
          <w:szCs w:val="24"/>
          <w:lang w:val="en-IE"/>
        </w:rPr>
        <w:t>Member States,</w:t>
      </w:r>
      <w:r>
        <w:rPr>
          <w:rFonts w:ascii="Times New Roman" w:hAnsi="Times New Roman" w:cs="Times New Roman"/>
          <w:noProof/>
          <w:sz w:val="24"/>
          <w:szCs w:val="24"/>
        </w:rPr>
        <w:t xml:space="preserve"> Schengen associated countries</w:t>
      </w:r>
      <w:r>
        <w:rPr>
          <w:rFonts w:ascii="Times New Roman" w:hAnsi="Times New Roman" w:cs="Times New Roman"/>
          <w:noProof/>
          <w:sz w:val="24"/>
          <w:szCs w:val="24"/>
          <w:lang w:val="en-IE"/>
        </w:rPr>
        <w:t xml:space="preserve"> and the relevant Union agencies </w:t>
      </w:r>
      <w:r>
        <w:rPr>
          <w:rFonts w:ascii="Times New Roman" w:hAnsi="Times New Roman" w:cs="Times New Roman"/>
          <w:noProof/>
          <w:sz w:val="24"/>
          <w:szCs w:val="24"/>
        </w:rPr>
        <w:t xml:space="preserve">(eu-LISA, the European Border and Coast Guard Agency and Europol) need to be ready and the Commission is monitoring preparation and readiness to ensure that full implementation is achieved by the end of 2023.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 provisional agreement has been found on 8 December 2020 between the co-legislators on the proposal to </w:t>
      </w:r>
      <w:r>
        <w:rPr>
          <w:rFonts w:ascii="Times New Roman" w:hAnsi="Times New Roman" w:cs="Times New Roman"/>
          <w:b/>
          <w:noProof/>
          <w:sz w:val="24"/>
          <w:szCs w:val="24"/>
        </w:rPr>
        <w:t>update the Visa Information System</w:t>
      </w:r>
      <w:r>
        <w:rPr>
          <w:rStyle w:val="FootnoteReference"/>
          <w:rFonts w:ascii="Times New Roman" w:hAnsi="Times New Roman" w:cs="Times New Roman"/>
          <w:b/>
          <w:noProof/>
          <w:sz w:val="24"/>
          <w:szCs w:val="24"/>
        </w:rPr>
        <w:footnoteReference w:id="184"/>
      </w:r>
      <w:r>
        <w:rPr>
          <w:rFonts w:ascii="Times New Roman" w:hAnsi="Times New Roman" w:cs="Times New Roman"/>
          <w:noProof/>
          <w:sz w:val="24"/>
          <w:szCs w:val="24"/>
        </w:rPr>
        <w:t>.</w:t>
      </w:r>
      <w:r>
        <w:rPr>
          <w:rFonts w:ascii="Times New Roman" w:hAnsi="Times New Roman"/>
          <w:noProof/>
          <w:sz w:val="24"/>
          <w:szCs w:val="24"/>
        </w:rPr>
        <w:t xml:space="preserv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However,</w:t>
      </w:r>
      <w:r>
        <w:rPr>
          <w:rFonts w:ascii="Times New Roman" w:hAnsi="Times New Roman" w:cs="Times New Roman"/>
          <w:b/>
          <w:bCs/>
          <w:noProof/>
          <w:sz w:val="24"/>
          <w:szCs w:val="24"/>
        </w:rPr>
        <w:t xml:space="preserve"> some key legislation still need to be adopted</w:t>
      </w:r>
      <w:r>
        <w:rPr>
          <w:rFonts w:ascii="Times New Roman" w:hAnsi="Times New Roman" w:cs="Times New Roman"/>
          <w:noProof/>
          <w:sz w:val="24"/>
          <w:szCs w:val="24"/>
        </w:rPr>
        <w:t>. The European Parliament needs to conclude its readiness to engage with the Council on the amendments</w:t>
      </w:r>
      <w:r>
        <w:rPr>
          <w:rStyle w:val="FootnoteReference"/>
          <w:rFonts w:ascii="Times New Roman" w:hAnsi="Times New Roman" w:cs="Times New Roman"/>
          <w:noProof/>
          <w:sz w:val="24"/>
          <w:szCs w:val="24"/>
        </w:rPr>
        <w:footnoteReference w:id="185"/>
      </w:r>
      <w:r>
        <w:rPr>
          <w:rFonts w:ascii="Times New Roman" w:hAnsi="Times New Roman" w:cs="Times New Roman"/>
          <w:noProof/>
          <w:sz w:val="24"/>
          <w:szCs w:val="24"/>
        </w:rPr>
        <w:t xml:space="preserve"> on the</w:t>
      </w:r>
      <w:r>
        <w:rPr>
          <w:noProof/>
        </w:rPr>
        <w:t xml:space="preserve"> </w:t>
      </w:r>
      <w:r>
        <w:rPr>
          <w:rFonts w:ascii="Times New Roman" w:hAnsi="Times New Roman" w:cs="Times New Roman"/>
          <w:noProof/>
          <w:sz w:val="24"/>
          <w:szCs w:val="24"/>
        </w:rPr>
        <w:t>European Travel Information and Authorisation System (ETIAS)</w:t>
      </w:r>
      <w:r>
        <w:rPr>
          <w:rStyle w:val="FootnoteReference"/>
          <w:rFonts w:ascii="Times New Roman" w:hAnsi="Times New Roman" w:cs="Times New Roman"/>
          <w:noProof/>
          <w:sz w:val="24"/>
          <w:szCs w:val="24"/>
        </w:rPr>
        <w:footnoteReference w:id="186"/>
      </w:r>
      <w:r>
        <w:rPr>
          <w:rFonts w:ascii="Times New Roman" w:hAnsi="Times New Roman" w:cs="Times New Roman"/>
          <w:noProof/>
          <w:sz w:val="24"/>
          <w:szCs w:val="24"/>
        </w:rPr>
        <w:t>.</w:t>
      </w:r>
    </w:p>
    <w:p w:rsidR="00872751" w:rsidRDefault="008477B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links between relevant information systems for security risk analysis are crucial to enhance our security. Enhancing </w:t>
      </w:r>
      <w:r>
        <w:rPr>
          <w:rFonts w:ascii="Times New Roman" w:hAnsi="Times New Roman" w:cs="Times New Roman"/>
          <w:b/>
          <w:bCs/>
          <w:noProof/>
          <w:sz w:val="24"/>
          <w:szCs w:val="24"/>
        </w:rPr>
        <w:t xml:space="preserve">cooperation between customs and border management </w:t>
      </w:r>
      <w:r>
        <w:rPr>
          <w:rFonts w:ascii="Times New Roman" w:hAnsi="Times New Roman" w:cs="Times New Roman"/>
          <w:noProof/>
          <w:sz w:val="24"/>
          <w:szCs w:val="24"/>
        </w:rPr>
        <w:t xml:space="preserve">authorities and synergies between their </w:t>
      </w:r>
      <w:r>
        <w:rPr>
          <w:rFonts w:ascii="Times New Roman" w:hAnsi="Times New Roman" w:cs="Times New Roman"/>
          <w:b/>
          <w:bCs/>
          <w:noProof/>
          <w:sz w:val="24"/>
          <w:szCs w:val="24"/>
        </w:rPr>
        <w:t>information systems</w:t>
      </w:r>
      <w:r>
        <w:rPr>
          <w:rFonts w:ascii="Times New Roman" w:hAnsi="Times New Roman" w:cs="Times New Roman"/>
          <w:noProof/>
          <w:sz w:val="24"/>
          <w:szCs w:val="24"/>
        </w:rPr>
        <w:t xml:space="preserve"> in compliance with relevant checks and balances, including the protection of personal data and privacy legislations, is a priority of the Action Plan on Taking the Custom Union to the next level of 28 September 2020</w:t>
      </w:r>
      <w:r>
        <w:rPr>
          <w:rStyle w:val="FootnoteReference"/>
          <w:rFonts w:ascii="Times New Roman" w:hAnsi="Times New Roman"/>
          <w:noProof/>
          <w:sz w:val="24"/>
          <w:szCs w:val="24"/>
        </w:rPr>
        <w:footnoteReference w:id="187"/>
      </w:r>
      <w:r>
        <w:rPr>
          <w:rFonts w:ascii="Times New Roman" w:hAnsi="Times New Roman" w:cs="Times New Roman"/>
          <w:noProof/>
          <w:sz w:val="24"/>
          <w:szCs w:val="24"/>
        </w:rPr>
        <w:t>. A preliminary assessment conducted by the Commission with police and customs experts from Member States recommends in particular a link-up of the Schengen Information System (SIS) and Europol data with the customs Import Control System (ICS2)</w:t>
      </w:r>
      <w:r>
        <w:rPr>
          <w:rStyle w:val="FootnoteReference"/>
          <w:rFonts w:ascii="Times New Roman" w:hAnsi="Times New Roman" w:cs="Times New Roman"/>
          <w:noProof/>
          <w:sz w:val="24"/>
          <w:szCs w:val="24"/>
        </w:rPr>
        <w:footnoteReference w:id="188"/>
      </w:r>
      <w:r>
        <w:rPr>
          <w:rFonts w:ascii="Times New Roman" w:eastAsia="Times New Roman" w:hAnsi="Times New Roman"/>
          <w:noProof/>
          <w:sz w:val="24"/>
          <w:szCs w:val="24"/>
        </w:rPr>
        <w:t xml:space="preserve">, and a </w:t>
      </w:r>
      <w:r>
        <w:rPr>
          <w:rFonts w:ascii="Times New Roman" w:hAnsi="Times New Roman" w:cs="Times New Roman"/>
          <w:noProof/>
          <w:sz w:val="24"/>
          <w:szCs w:val="24"/>
        </w:rPr>
        <w:t>feasibility study will now be launched.</w:t>
      </w:r>
    </w:p>
    <w:p w:rsidR="00872751" w:rsidRDefault="008477BD">
      <w:pPr>
        <w:spacing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bCs/>
          <w:noProof/>
          <w:sz w:val="24"/>
          <w:szCs w:val="24"/>
        </w:rPr>
        <w:t>European Border and Coast Guard Regulation</w:t>
      </w:r>
      <w:r>
        <w:rPr>
          <w:rStyle w:val="FootnoteReference"/>
          <w:rFonts w:ascii="Times New Roman" w:hAnsi="Times New Roman" w:cs="Times New Roman"/>
          <w:noProof/>
          <w:sz w:val="24"/>
          <w:szCs w:val="24"/>
        </w:rPr>
        <w:footnoteReference w:id="189"/>
      </w:r>
      <w:r>
        <w:rPr>
          <w:rFonts w:ascii="Times New Roman" w:hAnsi="Times New Roman" w:cs="Times New Roman"/>
          <w:b/>
          <w:bCs/>
          <w:noProof/>
          <w:sz w:val="24"/>
          <w:szCs w:val="24"/>
        </w:rPr>
        <w:t xml:space="preserve"> </w:t>
      </w:r>
      <w:r>
        <w:rPr>
          <w:rFonts w:ascii="Times New Roman" w:hAnsi="Times New Roman" w:cs="Times New Roman"/>
          <w:noProof/>
          <w:sz w:val="24"/>
          <w:szCs w:val="24"/>
        </w:rPr>
        <w:t xml:space="preserve">entered into force in December 2019 and represents a major overhaul of EU capabilities and tools to strengthen EU external borders. This will allow the contribution of borders to security to be significantly enhanced. The new mandate reinforces Frontex’s ability to support the Member States in the </w:t>
      </w:r>
      <w:r>
        <w:rPr>
          <w:rFonts w:ascii="Times New Roman" w:hAnsi="Times New Roman" w:cs="Times New Roman"/>
          <w:noProof/>
          <w:sz w:val="24"/>
          <w:szCs w:val="24"/>
        </w:rPr>
        <w:lastRenderedPageBreak/>
        <w:t>management of external borders and returns and extends the possibilities for the cooperation with third countries. Work is under way to ensure the readiness of the European Border and Coast Guard standing corps for its first deployment as of 1 January 2021.</w:t>
      </w:r>
    </w:p>
    <w:p w:rsidR="00872751" w:rsidRDefault="008477BD">
      <w:pPr>
        <w:spacing w:after="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June 2019, the EU introduced </w:t>
      </w:r>
      <w:r>
        <w:rPr>
          <w:rFonts w:ascii="Times New Roman" w:hAnsi="Times New Roman" w:cs="Times New Roman"/>
          <w:b/>
          <w:bCs/>
          <w:noProof/>
          <w:sz w:val="24"/>
          <w:szCs w:val="24"/>
        </w:rPr>
        <w:t xml:space="preserve">tighter security standards for ID cards </w:t>
      </w:r>
      <w:r>
        <w:rPr>
          <w:rFonts w:ascii="Times New Roman" w:hAnsi="Times New Roman" w:cs="Times New Roman"/>
          <w:noProof/>
          <w:sz w:val="24"/>
          <w:szCs w:val="24"/>
        </w:rPr>
        <w:t>in order to facilitate free movement of EU citizens and at the same time to reduce identity fraud</w:t>
      </w:r>
      <w:r>
        <w:rPr>
          <w:rFonts w:ascii="Times New Roman" w:hAnsi="Times New Roman"/>
          <w:noProof/>
          <w:sz w:val="24"/>
          <w:szCs w:val="24"/>
        </w:rPr>
        <w:t xml:space="preserve"> </w:t>
      </w:r>
      <w:r>
        <w:rPr>
          <w:rStyle w:val="FootnoteReference"/>
          <w:rFonts w:ascii="Times New Roman" w:hAnsi="Times New Roman" w:cs="Times New Roman"/>
          <w:noProof/>
          <w:sz w:val="24"/>
          <w:szCs w:val="24"/>
        </w:rPr>
        <w:footnoteReference w:id="190"/>
      </w:r>
      <w:r>
        <w:rPr>
          <w:rFonts w:ascii="Times New Roman" w:hAnsi="Times New Roman" w:cs="Times New Roman"/>
          <w:noProof/>
          <w:sz w:val="24"/>
          <w:szCs w:val="24"/>
        </w:rPr>
        <w:t>. Member States are required to start issuing identity cards and residence documents with new security standards as of August 2021. Most of them are currently in the process of aligning their document designs with the requirements of the Regulation.</w:t>
      </w:r>
    </w:p>
    <w:p w:rsidR="00872751" w:rsidRDefault="00872751">
      <w:pPr>
        <w:spacing w:after="0" w:line="240" w:lineRule="auto"/>
        <w:jc w:val="both"/>
        <w:rPr>
          <w:rFonts w:ascii="Times New Roman" w:hAnsi="Times New Roman" w:cs="Times New Roman"/>
          <w:noProof/>
          <w:sz w:val="24"/>
          <w:szCs w:val="24"/>
        </w:rPr>
      </w:pPr>
    </w:p>
    <w:p w:rsidR="00872751" w:rsidRDefault="008477BD">
      <w:pPr>
        <w:spacing w:after="120" w:line="240" w:lineRule="auto"/>
        <w:ind w:left="360"/>
        <w:rPr>
          <w:rFonts w:ascii="Times New Roman" w:hAnsi="Times New Roman" w:cs="Times New Roman"/>
          <w:b/>
          <w:bCs/>
          <w:i/>
          <w:iCs/>
          <w:noProof/>
          <w:sz w:val="24"/>
          <w:szCs w:val="24"/>
        </w:rPr>
      </w:pPr>
      <w:r>
        <w:rPr>
          <w:rFonts w:ascii="Times New Roman" w:hAnsi="Times New Roman" w:cs="Times New Roman"/>
          <w:b/>
          <w:bCs/>
          <w:i/>
          <w:iCs/>
          <w:noProof/>
          <w:sz w:val="24"/>
          <w:szCs w:val="24"/>
        </w:rPr>
        <w:t>3. Strengthening security research and innovation</w:t>
      </w:r>
    </w:p>
    <w:p w:rsidR="00872751" w:rsidRDefault="008477BD">
      <w:pPr>
        <w:spacing w:after="120" w:line="240" w:lineRule="auto"/>
        <w:jc w:val="both"/>
        <w:rPr>
          <w:rFonts w:ascii="Times New Roman" w:hAnsi="Times New Roman"/>
          <w:b/>
          <w:noProof/>
          <w:sz w:val="24"/>
        </w:rPr>
      </w:pPr>
      <w:r>
        <w:rPr>
          <w:rFonts w:ascii="Times New Roman" w:eastAsia="Times New Roman" w:hAnsi="Times New Roman" w:cs="Times New Roman"/>
          <w:b/>
          <w:bCs/>
          <w:noProof/>
          <w:sz w:val="24"/>
          <w:szCs w:val="24"/>
        </w:rPr>
        <w:t>Research on security</w:t>
      </w:r>
      <w:r>
        <w:rPr>
          <w:rFonts w:ascii="Times New Roman" w:hAnsi="Times New Roman"/>
          <w:b/>
          <w:bCs/>
          <w:noProof/>
          <w:sz w:val="24"/>
          <w:szCs w:val="24"/>
        </w:rPr>
        <w:t xml:space="preserve"> </w:t>
      </w:r>
      <w:r>
        <w:rPr>
          <w:rFonts w:ascii="Times New Roman" w:eastAsia="Times New Roman" w:hAnsi="Times New Roman" w:cs="Times New Roman"/>
          <w:b/>
          <w:bCs/>
          <w:noProof/>
          <w:sz w:val="24"/>
          <w:szCs w:val="24"/>
        </w:rPr>
        <w:t>and promoting innovation</w:t>
      </w:r>
      <w:r>
        <w:rPr>
          <w:rFonts w:ascii="Times New Roman" w:eastAsia="Times New Roman" w:hAnsi="Times New Roman" w:cs="Times New Roman"/>
          <w:noProof/>
          <w:sz w:val="24"/>
          <w:szCs w:val="24"/>
        </w:rPr>
        <w:t xml:space="preserve"> underpin a coordinated EU response to complex challenges, and allow for concrete steps to mitigate risks. The Security Union is one of four focus areas under the 2018-2020 work programme for </w:t>
      </w:r>
      <w:r>
        <w:rPr>
          <w:rFonts w:ascii="Times New Roman" w:eastAsia="Times New Roman" w:hAnsi="Times New Roman" w:cs="Times New Roman"/>
          <w:b/>
          <w:bCs/>
          <w:noProof/>
          <w:sz w:val="24"/>
          <w:szCs w:val="24"/>
        </w:rPr>
        <w:t>Horizon 2020</w:t>
      </w:r>
      <w:r>
        <w:rPr>
          <w:rStyle w:val="FootnoteReference"/>
          <w:rFonts w:ascii="Times New Roman" w:hAnsi="Times New Roman" w:cs="Times New Roman"/>
          <w:noProof/>
          <w:sz w:val="24"/>
          <w:szCs w:val="24"/>
          <w:shd w:val="clear" w:color="auto" w:fill="FFFFFF"/>
        </w:rPr>
        <w:footnoteReference w:id="191"/>
      </w:r>
      <w:r>
        <w:rPr>
          <w:rFonts w:ascii="Times New Roman" w:eastAsia="Times New Roman" w:hAnsi="Times New Roman" w:cs="Times New Roman"/>
          <w:noProof/>
          <w:sz w:val="24"/>
          <w:szCs w:val="24"/>
        </w:rPr>
        <w:t xml:space="preserve">, which represents 50% of overall public funding for security research in the EU. </w:t>
      </w:r>
      <w:r>
        <w:rPr>
          <w:rFonts w:ascii="Times New Roman" w:hAnsi="Times New Roman" w:cs="Times New Roman"/>
          <w:noProof/>
          <w:sz w:val="24"/>
          <w:szCs w:val="24"/>
        </w:rPr>
        <w:t>The 2019 Horizon 2020 security research calls led to the selection of 42 projects to receive a total of €253 million in EU funding. Work will include protecting infrastructure, increasing disaster resilience, fighting crime and terrorism, and securing external borders, as well as improving digital security. The indicative budget available for projects in 2020 is €265 million. This includes a €20 million call for proposals on Artificial Intelligence which will support European law enforcement agencies scale up AI capacities, close their AI skills gap, and boost cooperation. Work under preparation under the new research framework programme Horizon Europe will support the implementation of the EU Security Union Strategy, as well as the border management and security dimension of the New Pact on Migration and Asylum, EU Disaster Risk Reduction policies and the EU Maritime Security Strategy</w:t>
      </w:r>
      <w:r>
        <w:rPr>
          <w:rStyle w:val="FootnoteReference"/>
          <w:rFonts w:ascii="Times New Roman" w:hAnsi="Times New Roman" w:cs="Times New Roman"/>
          <w:noProof/>
          <w:sz w:val="24"/>
          <w:szCs w:val="24"/>
        </w:rPr>
        <w:footnoteReference w:id="192"/>
      </w:r>
      <w:r>
        <w:rPr>
          <w:rFonts w:ascii="Times New Roman" w:hAnsi="Times New Roman" w:cs="Times New Roman"/>
          <w:noProof/>
          <w:sz w:val="24"/>
          <w:szCs w:val="24"/>
        </w:rPr>
        <w:t>.</w:t>
      </w:r>
    </w:p>
    <w:p w:rsidR="00872751" w:rsidRDefault="008477BD">
      <w:pPr>
        <w:spacing w:after="120" w:line="240"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rPr>
        <w:t>EU-funded security research has also proven effective in fostering cooperation and supporting security practitioners during the COVID-19 pandemic.</w:t>
      </w:r>
      <w:r>
        <w:rPr>
          <w:rStyle w:val="FootnoteReference"/>
          <w:rFonts w:ascii="Times New Roman" w:hAnsi="Times New Roman" w:cs="Times New Roman"/>
          <w:noProof/>
          <w:sz w:val="24"/>
          <w:szCs w:val="24"/>
          <w:shd w:val="clear" w:color="auto" w:fill="FFFFFF"/>
        </w:rPr>
        <w:footnoteReference w:id="193"/>
      </w:r>
      <w:r>
        <w:rPr>
          <w:rFonts w:ascii="Times New Roman" w:hAnsi="Times New Roman" w:cs="Times New Roman"/>
          <w:noProof/>
          <w:sz w:val="24"/>
          <w:szCs w:val="24"/>
        </w:rPr>
        <w:t xml:space="preserve"> Support includes tools for joint epidemiological and criminal risk and threat assessment and investigation. </w:t>
      </w:r>
    </w:p>
    <w:p w:rsidR="00872751" w:rsidRDefault="008477BD">
      <w:pPr>
        <w:spacing w:after="120" w:line="240" w:lineRule="auto"/>
        <w:jc w:val="both"/>
        <w:rPr>
          <w:rFonts w:ascii="Times New Roman" w:hAnsi="Times New Roman" w:cs="Times New Roman"/>
          <w:noProof/>
          <w:sz w:val="24"/>
          <w:szCs w:val="24"/>
          <w:shd w:val="clear" w:color="auto" w:fill="FFFFFF"/>
        </w:rPr>
      </w:pPr>
      <w:r>
        <w:rPr>
          <w:rFonts w:ascii="Times New Roman" w:hAnsi="Times New Roman" w:cs="Times New Roman"/>
          <w:noProof/>
          <w:sz w:val="24"/>
          <w:szCs w:val="24"/>
          <w:shd w:val="clear" w:color="auto" w:fill="FFFFFF"/>
        </w:rPr>
        <w:t xml:space="preserve">In order to ensure the uptake of </w:t>
      </w:r>
      <w:r>
        <w:rPr>
          <w:rFonts w:ascii="Times New Roman" w:hAnsi="Times New Roman" w:cs="Times New Roman"/>
          <w:b/>
          <w:bCs/>
          <w:noProof/>
          <w:sz w:val="24"/>
          <w:szCs w:val="24"/>
          <w:shd w:val="clear" w:color="auto" w:fill="FFFFFF"/>
        </w:rPr>
        <w:t>innovative projects</w:t>
      </w:r>
      <w:r>
        <w:rPr>
          <w:rFonts w:ascii="Times New Roman" w:hAnsi="Times New Roman" w:cs="Times New Roman"/>
          <w:noProof/>
          <w:sz w:val="24"/>
          <w:szCs w:val="24"/>
          <w:shd w:val="clear" w:color="auto" w:fill="FFFFFF"/>
        </w:rPr>
        <w:t xml:space="preserve">, EU Agencies need to be integrated into the existing security research and innovation landscape. Following the October 2019 Justice and Home Affairs Council, EU agencies and the Commission’s Joint Research Centre are currently setting up the </w:t>
      </w:r>
      <w:r>
        <w:rPr>
          <w:rFonts w:ascii="Times New Roman" w:hAnsi="Times New Roman" w:cs="Times New Roman"/>
          <w:b/>
          <w:bCs/>
          <w:noProof/>
          <w:sz w:val="24"/>
          <w:szCs w:val="24"/>
          <w:shd w:val="clear" w:color="auto" w:fill="FFFFFF"/>
        </w:rPr>
        <w:t>EU innovation hub for internal security</w:t>
      </w:r>
      <w:r>
        <w:rPr>
          <w:rFonts w:ascii="Times New Roman" w:hAnsi="Times New Roman" w:cs="Times New Roman"/>
          <w:noProof/>
          <w:sz w:val="24"/>
          <w:szCs w:val="24"/>
          <w:shd w:val="clear" w:color="auto" w:fill="FFFFFF"/>
        </w:rPr>
        <w:t>, based on their existing legal mandates, to serve as a collaborative network of their innovation labs. The hub will be a coordination mechanism to support the participating entities in the sharing of information and knowledge, the setting up of joint projects, and the dissemination of findings and technological solutions developed that are relevant for internal security</w:t>
      </w:r>
      <w:r>
        <w:rPr>
          <w:rStyle w:val="FootnoteReference"/>
          <w:rFonts w:ascii="Times New Roman" w:hAnsi="Times New Roman" w:cs="Times New Roman"/>
          <w:noProof/>
          <w:sz w:val="24"/>
          <w:szCs w:val="24"/>
          <w:shd w:val="clear" w:color="auto" w:fill="FFFFFF"/>
        </w:rPr>
        <w:footnoteReference w:id="194"/>
      </w:r>
      <w:r>
        <w:rPr>
          <w:rFonts w:ascii="Times New Roman" w:hAnsi="Times New Roman" w:cs="Times New Roman"/>
          <w:noProof/>
          <w:sz w:val="24"/>
          <w:szCs w:val="24"/>
          <w:shd w:val="clear" w:color="auto" w:fill="FFFFFF"/>
        </w:rPr>
        <w:t xml:space="preserve">. </w:t>
      </w:r>
    </w:p>
    <w:p w:rsidR="00872751" w:rsidRDefault="008477BD">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bCs/>
          <w:noProof/>
          <w:sz w:val="24"/>
          <w:szCs w:val="24"/>
        </w:rPr>
        <w:t>European Cybersecurity Industrial, Technology and Research Competence Centre and the Network of National Coordination Centres</w:t>
      </w:r>
      <w:r>
        <w:rPr>
          <w:rFonts w:ascii="Times New Roman" w:hAnsi="Times New Roman" w:cs="Times New Roman"/>
          <w:noProof/>
          <w:sz w:val="24"/>
          <w:szCs w:val="24"/>
        </w:rPr>
        <w:t xml:space="preserve"> are Europe’s response to support innovation and industrial policy in cybersecurity. They aim to strengthen European </w:t>
      </w:r>
      <w:r>
        <w:rPr>
          <w:rFonts w:ascii="Times New Roman" w:hAnsi="Times New Roman" w:cs="Times New Roman"/>
          <w:noProof/>
          <w:sz w:val="24"/>
          <w:szCs w:val="24"/>
        </w:rPr>
        <w:lastRenderedPageBreak/>
        <w:t>cybersecurity capacities, shield our economy and society from cyberattacks, maintain research excellence and reinforce EU competitiveness. Trilogues are currently ongoing.</w:t>
      </w:r>
    </w:p>
    <w:p w:rsidR="00872751" w:rsidRDefault="008477BD">
      <w:pPr>
        <w:spacing w:after="120" w:line="240" w:lineRule="auto"/>
        <w:ind w:left="360"/>
        <w:rPr>
          <w:rFonts w:ascii="Times New Roman" w:hAnsi="Times New Roman"/>
          <w:b/>
          <w:i/>
          <w:noProof/>
          <w:sz w:val="24"/>
        </w:rPr>
      </w:pPr>
      <w:r>
        <w:rPr>
          <w:rFonts w:ascii="Times New Roman" w:hAnsi="Times New Roman" w:cs="Times New Roman"/>
          <w:b/>
          <w:bCs/>
          <w:i/>
          <w:iCs/>
          <w:noProof/>
          <w:sz w:val="24"/>
          <w:szCs w:val="24"/>
        </w:rPr>
        <w:t xml:space="preserve">4. </w:t>
      </w:r>
      <w:r>
        <w:rPr>
          <w:rFonts w:ascii="Times New Roman" w:hAnsi="Times New Roman"/>
          <w:b/>
          <w:i/>
          <w:noProof/>
          <w:sz w:val="24"/>
        </w:rPr>
        <w:t xml:space="preserve">Skills and awareness raising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Awareness of security issues and acquiring the skills to deal with potential threats are essential to build a more resilient society with better prepared enterprises, administrations and individuals. Also important is victims’ access to their rights. </w:t>
      </w:r>
    </w:p>
    <w:p w:rsidR="00872751" w:rsidRDefault="008477BD">
      <w:pPr>
        <w:spacing w:after="120" w:line="240" w:lineRule="auto"/>
        <w:rPr>
          <w:rFonts w:ascii="Times New Roman" w:hAnsi="Times New Roman"/>
          <w:i/>
          <w:noProof/>
          <w:sz w:val="24"/>
        </w:rPr>
      </w:pPr>
      <w:r>
        <w:rPr>
          <w:rFonts w:ascii="Times New Roman" w:hAnsi="Times New Roman" w:cs="Times New Roman"/>
          <w:i/>
          <w:iCs/>
          <w:noProof/>
          <w:sz w:val="24"/>
          <w:szCs w:val="24"/>
        </w:rPr>
        <w:t xml:space="preserve">Law enforcement and justice professionals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COVID-19-related restrictions heavily affected CEPOL, which was obliged to cancel all planned residential activities from March 2020. These special circumstances also caused a growing demand for online services; in the first four months of the year, the Agency recorded a 30% increase in virtual activities and 100% increase in online users. Among the priority trainings areas for 2019-2021</w:t>
      </w:r>
      <w:r>
        <w:rPr>
          <w:rStyle w:val="FootnoteReference"/>
          <w:rFonts w:ascii="Times New Roman" w:hAnsi="Times New Roman" w:cs="Times New Roman"/>
          <w:noProof/>
          <w:sz w:val="24"/>
          <w:szCs w:val="24"/>
        </w:rPr>
        <w:footnoteReference w:id="195"/>
      </w:r>
      <w:r>
        <w:rPr>
          <w:rFonts w:ascii="Times New Roman" w:hAnsi="Times New Roman" w:cs="Times New Roman"/>
          <w:noProof/>
          <w:sz w:val="24"/>
          <w:szCs w:val="24"/>
        </w:rPr>
        <w:t xml:space="preserve"> are the fight against illegal immigration, counter-terrorism, trafficking in human beings and cyber crime, and child sexual abuse. The Commission is currently preparing the evaluation of CEPOL to be completed by July 2021.</w:t>
      </w:r>
      <w:r>
        <w:rPr>
          <w:noProof/>
        </w:rPr>
        <w:t xml:space="preserve"> </w:t>
      </w:r>
      <w:r>
        <w:rPr>
          <w:rFonts w:ascii="Times New Roman" w:hAnsi="Times New Roman" w:cs="Times New Roman"/>
          <w:noProof/>
          <w:sz w:val="24"/>
          <w:szCs w:val="24"/>
        </w:rPr>
        <w:t xml:space="preserve"> </w:t>
      </w:r>
    </w:p>
    <w:p w:rsidR="00872751" w:rsidRDefault="008477BD">
      <w:pPr>
        <w:spacing w:after="120" w:line="240" w:lineRule="auto"/>
        <w:rPr>
          <w:rFonts w:ascii="Times New Roman" w:hAnsi="Times New Roman"/>
          <w:i/>
          <w:noProof/>
          <w:sz w:val="24"/>
        </w:rPr>
      </w:pPr>
      <w:r>
        <w:rPr>
          <w:rFonts w:ascii="Times New Roman" w:hAnsi="Times New Roman" w:cs="Times New Roman"/>
          <w:i/>
          <w:iCs/>
          <w:noProof/>
          <w:sz w:val="24"/>
          <w:szCs w:val="24"/>
        </w:rPr>
        <w:t>General public</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bCs/>
          <w:noProof/>
          <w:sz w:val="24"/>
          <w:szCs w:val="24"/>
        </w:rPr>
        <w:t>#SaferInternet4EU campaign</w:t>
      </w:r>
      <w:r>
        <w:rPr>
          <w:rFonts w:ascii="Times New Roman" w:hAnsi="Times New Roman" w:cs="Times New Roman"/>
          <w:noProof/>
          <w:sz w:val="24"/>
          <w:szCs w:val="24"/>
        </w:rPr>
        <w:t xml:space="preserve"> was launched on Safer Internet Day 2018. The activities reached nearly 63</w:t>
      </w:r>
      <w:r w:rsidR="00703786">
        <w:rPr>
          <w:rFonts w:ascii="Times New Roman" w:hAnsi="Times New Roman" w:cs="Times New Roman"/>
          <w:noProof/>
          <w:sz w:val="24"/>
          <w:szCs w:val="24"/>
        </w:rPr>
        <w:t xml:space="preserve"> million</w:t>
      </w:r>
      <w:r>
        <w:rPr>
          <w:rFonts w:ascii="Times New Roman" w:hAnsi="Times New Roman" w:cs="Times New Roman"/>
          <w:noProof/>
          <w:sz w:val="24"/>
          <w:szCs w:val="24"/>
        </w:rPr>
        <w:t xml:space="preserve"> people in the EU in the last 2 years, and include awards, support to teachers and cyber-hygiene. The network of Safer Internet Centres provided more than 1,800 new resources covering topics such as fake news, cyberbullying, privacy concerns, grooming and cyber-hygiene.</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October 2020 marked the EU’s 8th European </w:t>
      </w:r>
      <w:r>
        <w:rPr>
          <w:rFonts w:ascii="Times New Roman" w:hAnsi="Times New Roman" w:cs="Times New Roman"/>
          <w:b/>
          <w:bCs/>
          <w:noProof/>
          <w:sz w:val="24"/>
          <w:szCs w:val="24"/>
        </w:rPr>
        <w:t>Cybersecurity Month</w:t>
      </w:r>
      <w:r>
        <w:rPr>
          <w:rFonts w:ascii="Times New Roman" w:hAnsi="Times New Roman" w:cs="Times New Roman"/>
          <w:noProof/>
          <w:sz w:val="24"/>
          <w:szCs w:val="24"/>
        </w:rPr>
        <w:t xml:space="preserve">, promoting online security in the EU. This year’s campaign was designed to address security issues surrounding the digitalisation of everyday life, accelerated by the COVID-19 pandemic. Encouraging people to ‘Think Before U Click’, the campaign highlighted different cybersecurity themes to help users identify and prepare for cyber threats. The 2021 European Cyber Security Challenge in Prague is under preparation.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A crucial tool to help victims of cybercrime is No More Ransom</w:t>
      </w:r>
      <w:r>
        <w:rPr>
          <w:rStyle w:val="FootnoteReference"/>
          <w:rFonts w:ascii="Times New Roman" w:hAnsi="Times New Roman" w:cs="Times New Roman"/>
          <w:noProof/>
          <w:sz w:val="24"/>
          <w:szCs w:val="24"/>
        </w:rPr>
        <w:footnoteReference w:id="196"/>
      </w:r>
      <w:r>
        <w:rPr>
          <w:rFonts w:ascii="Times New Roman" w:hAnsi="Times New Roman" w:cs="Times New Roman"/>
          <w:noProof/>
          <w:sz w:val="24"/>
          <w:szCs w:val="24"/>
        </w:rPr>
        <w:t>, a free decryption tool repository helping victims fight back without paying the hackers. Supported by Europol’s Cybercrime Centre, it celebrated its fourth anniversary in July 2020 and since its launch has registered over 4.2 million visitors from 188 countries, stopping an estimated $632 million in ransom demands from ending up in criminals’ pockets.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On 1 July 2020, the Commission presented the </w:t>
      </w:r>
      <w:r>
        <w:rPr>
          <w:rFonts w:ascii="Times New Roman" w:hAnsi="Times New Roman" w:cs="Times New Roman"/>
          <w:b/>
          <w:bCs/>
          <w:noProof/>
          <w:sz w:val="24"/>
          <w:szCs w:val="24"/>
        </w:rPr>
        <w:t>European Skills Agenda</w:t>
      </w:r>
      <w:r>
        <w:rPr>
          <w:rStyle w:val="FootnoteReference"/>
          <w:rFonts w:ascii="Times New Roman" w:hAnsi="Times New Roman" w:cs="Times New Roman"/>
          <w:b/>
          <w:bCs/>
          <w:noProof/>
          <w:sz w:val="24"/>
          <w:szCs w:val="24"/>
        </w:rPr>
        <w:footnoteReference w:id="197"/>
      </w:r>
      <w:r>
        <w:rPr>
          <w:rFonts w:ascii="Times New Roman" w:hAnsi="Times New Roman" w:cs="Times New Roman"/>
          <w:noProof/>
          <w:sz w:val="24"/>
          <w:szCs w:val="24"/>
        </w:rPr>
        <w:t xml:space="preserve"> for sustainable competitiveness, social fairness and resilience. It sets ambitious, quantitative objectives for improving existing skills</w:t>
      </w:r>
      <w:r w:rsidR="00703786">
        <w:rPr>
          <w:rFonts w:ascii="Times New Roman" w:hAnsi="Times New Roman" w:cs="Times New Roman"/>
          <w:noProof/>
          <w:sz w:val="24"/>
          <w:szCs w:val="24"/>
        </w:rPr>
        <w:t xml:space="preserve"> and</w:t>
      </w:r>
      <w:r>
        <w:rPr>
          <w:rFonts w:ascii="Times New Roman" w:hAnsi="Times New Roman" w:cs="Times New Roman"/>
          <w:noProof/>
          <w:sz w:val="24"/>
          <w:szCs w:val="24"/>
        </w:rPr>
        <w:t xml:space="preserve"> training in new skills to be achieved within the next 5 years. It includes dedicated actions to increase the number of graduates in science, technology, engineering, arts and mathematics needed in cutting-edge areas such as cybersecurity.</w:t>
      </w:r>
      <w:r>
        <w:rPr>
          <w:rFonts w:ascii="Verdana" w:hAnsi="Verdana"/>
          <w:noProof/>
          <w:color w:val="000000"/>
          <w:shd w:val="clear" w:color="auto" w:fill="FFFFFF"/>
        </w:rPr>
        <w:t xml:space="preserve"> </w:t>
      </w:r>
      <w:r>
        <w:rPr>
          <w:rFonts w:ascii="Times New Roman" w:hAnsi="Times New Roman" w:cs="Times New Roman"/>
          <w:noProof/>
          <w:sz w:val="24"/>
          <w:szCs w:val="24"/>
        </w:rPr>
        <w:t>On 10 November 2020, the Commission launched the Pact for Skills during the fifth edition of the </w:t>
      </w:r>
      <w:hyperlink r:id="rId28" w:history="1">
        <w:r>
          <w:rPr>
            <w:rFonts w:ascii="Times New Roman" w:hAnsi="Times New Roman" w:cs="Times New Roman"/>
            <w:noProof/>
            <w:sz w:val="24"/>
            <w:szCs w:val="24"/>
          </w:rPr>
          <w:t>European Vocational Skills Week 2020</w:t>
        </w:r>
      </w:hyperlink>
      <w:r>
        <w:rPr>
          <w:rFonts w:ascii="Times New Roman" w:hAnsi="Times New Roman" w:cs="Times New Roman"/>
          <w:noProof/>
          <w:sz w:val="24"/>
          <w:szCs w:val="24"/>
        </w:rPr>
        <w:t xml:space="preserve">. </w:t>
      </w:r>
      <w:r>
        <w:rPr>
          <w:rFonts w:ascii="Times New Roman" w:hAnsi="Times New Roman"/>
          <w:noProof/>
          <w:sz w:val="24"/>
          <w:szCs w:val="24"/>
        </w:rPr>
        <w:t xml:space="preserve">It promotes joint action to maximise the impact of investing in improving existing skills and training in new skills. Together with the Pact, the first European skills partnerships have been announced in three areas: automotive, microelectronics and aerospace and defence.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lastRenderedPageBreak/>
        <w:t>On 30 September 2020, the Commission adopted a set of policy strategies which will have an important impact on developing the EU’s long term security skills capability. The</w:t>
      </w:r>
      <w:r>
        <w:rPr>
          <w:rFonts w:ascii="Times New Roman" w:hAnsi="Times New Roman" w:cs="Times New Roman"/>
          <w:b/>
          <w:bCs/>
          <w:noProof/>
          <w:sz w:val="24"/>
          <w:szCs w:val="24"/>
        </w:rPr>
        <w:t xml:space="preserve"> Digital Education Action Plan for 2021-2027</w:t>
      </w:r>
      <w:r>
        <w:rPr>
          <w:rStyle w:val="FootnoteReference"/>
          <w:rFonts w:ascii="Times New Roman" w:hAnsi="Times New Roman" w:cs="Times New Roman"/>
          <w:b/>
          <w:bCs/>
          <w:noProof/>
          <w:sz w:val="24"/>
          <w:szCs w:val="24"/>
        </w:rPr>
        <w:footnoteReference w:id="198"/>
      </w:r>
      <w:r>
        <w:rPr>
          <w:rFonts w:ascii="Times New Roman" w:hAnsi="Times New Roman" w:cs="Times New Roman"/>
          <w:noProof/>
          <w:sz w:val="24"/>
          <w:szCs w:val="24"/>
        </w:rPr>
        <w:t xml:space="preserve"> will drive a high-performing digital education ecosystem with enhanced competences for the digital transformation</w:t>
      </w:r>
      <w:r>
        <w:rPr>
          <w:rStyle w:val="FootnoteReference"/>
          <w:rFonts w:ascii="Times New Roman" w:hAnsi="Times New Roman" w:cs="Times New Roman"/>
          <w:noProof/>
          <w:sz w:val="24"/>
          <w:szCs w:val="24"/>
        </w:rPr>
        <w:footnoteReference w:id="199"/>
      </w:r>
      <w:r>
        <w:rPr>
          <w:rFonts w:ascii="Times New Roman" w:hAnsi="Times New Roman" w:cs="Times New Roman"/>
          <w:noProof/>
          <w:sz w:val="24"/>
          <w:szCs w:val="24"/>
        </w:rPr>
        <w:t>. A Communication on the</w:t>
      </w:r>
      <w:r>
        <w:rPr>
          <w:rFonts w:ascii="Times New Roman" w:hAnsi="Times New Roman" w:cs="Times New Roman"/>
          <w:b/>
          <w:bCs/>
          <w:noProof/>
          <w:sz w:val="24"/>
          <w:szCs w:val="24"/>
        </w:rPr>
        <w:t xml:space="preserve"> European Education Area </w:t>
      </w:r>
      <w:r>
        <w:rPr>
          <w:rFonts w:ascii="Times New Roman" w:hAnsi="Times New Roman" w:cs="Times New Roman"/>
          <w:noProof/>
          <w:sz w:val="24"/>
          <w:szCs w:val="24"/>
        </w:rPr>
        <w:t>by 2025</w:t>
      </w:r>
      <w:r>
        <w:rPr>
          <w:rStyle w:val="FootnoteReference"/>
          <w:rFonts w:ascii="Times New Roman" w:hAnsi="Times New Roman" w:cs="Times New Roman"/>
          <w:noProof/>
          <w:sz w:val="24"/>
          <w:szCs w:val="24"/>
        </w:rPr>
        <w:footnoteReference w:id="200"/>
      </w:r>
      <w:r>
        <w:rPr>
          <w:rFonts w:ascii="Times New Roman" w:hAnsi="Times New Roman" w:cs="Times New Roman"/>
          <w:noProof/>
          <w:sz w:val="24"/>
          <w:szCs w:val="24"/>
        </w:rPr>
        <w:t xml:space="preserve"> was adopted on the same day, with basic and digital skills a key focus. A Communication on a new</w:t>
      </w:r>
      <w:r>
        <w:rPr>
          <w:rFonts w:ascii="Times New Roman" w:hAnsi="Times New Roman" w:cs="Times New Roman"/>
          <w:b/>
          <w:bCs/>
          <w:noProof/>
          <w:sz w:val="24"/>
          <w:szCs w:val="24"/>
        </w:rPr>
        <w:t xml:space="preserve"> European Research Area for Research and Innovation</w:t>
      </w:r>
      <w:r>
        <w:rPr>
          <w:rStyle w:val="FootnoteReference"/>
          <w:rFonts w:ascii="Times New Roman" w:hAnsi="Times New Roman" w:cs="Times New Roman"/>
          <w:noProof/>
          <w:sz w:val="24"/>
          <w:szCs w:val="24"/>
        </w:rPr>
        <w:footnoteReference w:id="201"/>
      </w:r>
      <w:r>
        <w:rPr>
          <w:rFonts w:ascii="Times New Roman" w:hAnsi="Times New Roman" w:cs="Times New Roman"/>
          <w:noProof/>
          <w:sz w:val="24"/>
          <w:szCs w:val="24"/>
        </w:rPr>
        <w:t xml:space="preserve"> set out the path to improve Europe's research and innovation landscape and accelerate the EU's transition towards digital leadership as well as combatting gender-based violence, in all its forms, in Research and Innovation organisations.</w:t>
      </w:r>
    </w:p>
    <w:p w:rsidR="00872751" w:rsidRDefault="008477BD">
      <w:pPr>
        <w:spacing w:after="120" w:line="240" w:lineRule="auto"/>
        <w:jc w:val="both"/>
        <w:rPr>
          <w:noProof/>
          <w:color w:val="1F497D"/>
          <w:lang w:val="en-IE"/>
        </w:rPr>
      </w:pPr>
      <w:r>
        <w:rPr>
          <w:rFonts w:ascii="Times New Roman" w:hAnsi="Times New Roman" w:cs="Times New Roman"/>
          <w:b/>
          <w:bCs/>
          <w:noProof/>
          <w:sz w:val="24"/>
          <w:szCs w:val="24"/>
        </w:rPr>
        <w:t>The Erasmus+ programme</w:t>
      </w:r>
      <w:r>
        <w:rPr>
          <w:rFonts w:ascii="Times New Roman" w:hAnsi="Times New Roman" w:cs="Times New Roman"/>
          <w:noProof/>
          <w:sz w:val="24"/>
          <w:szCs w:val="24"/>
        </w:rPr>
        <w:t xml:space="preserve"> also contribute to combatting radicalisation through projects combatting radicalisation, violent extremism, social</w:t>
      </w:r>
      <w:r w:rsidR="000F50F2">
        <w:rPr>
          <w:rFonts w:ascii="Times New Roman" w:hAnsi="Times New Roman" w:cs="Times New Roman"/>
          <w:noProof/>
          <w:sz w:val="24"/>
          <w:szCs w:val="24"/>
        </w:rPr>
        <w:t xml:space="preserve"> </w:t>
      </w:r>
      <w:r w:rsidR="00703786">
        <w:rPr>
          <w:rFonts w:ascii="Times New Roman" w:hAnsi="Times New Roman" w:cs="Times New Roman"/>
          <w:noProof/>
          <w:sz w:val="24"/>
          <w:szCs w:val="24"/>
        </w:rPr>
        <w:t>exclusion</w:t>
      </w:r>
      <w:r>
        <w:rPr>
          <w:rFonts w:ascii="Times New Roman" w:hAnsi="Times New Roman" w:cs="Times New Roman"/>
          <w:noProof/>
          <w:sz w:val="24"/>
          <w:szCs w:val="24"/>
        </w:rPr>
        <w:t>, misinformation and fake news</w:t>
      </w:r>
      <w:r>
        <w:rPr>
          <w:rStyle w:val="FootnoteReference"/>
          <w:rFonts w:ascii="Times New Roman" w:hAnsi="Times New Roman" w:cs="Times New Roman"/>
          <w:noProof/>
          <w:sz w:val="24"/>
          <w:szCs w:val="24"/>
        </w:rPr>
        <w:footnoteReference w:id="202"/>
      </w:r>
      <w:r>
        <w:rPr>
          <w:rFonts w:ascii="Times New Roman" w:hAnsi="Times New Roman" w:cs="Times New Roman"/>
          <w:noProof/>
          <w:sz w:val="24"/>
          <w:szCs w:val="24"/>
        </w:rPr>
        <w:t>. An example is the Radicalisation Prevention in Prisons Project aiming to enhancing the competences of frontline staff to identify, report and interpret signals of radicalisation and respond appropriately</w:t>
      </w:r>
      <w:r>
        <w:rPr>
          <w:rStyle w:val="FootnoteReference"/>
          <w:rFonts w:ascii="Times New Roman" w:hAnsi="Times New Roman" w:cs="Times New Roman"/>
          <w:noProof/>
          <w:sz w:val="24"/>
          <w:szCs w:val="24"/>
        </w:rPr>
        <w:footnoteReference w:id="203"/>
      </w:r>
      <w:r>
        <w:rPr>
          <w:rFonts w:ascii="Times New Roman" w:hAnsi="Times New Roman" w:cs="Times New Roman"/>
          <w:noProof/>
          <w:sz w:val="24"/>
          <w:szCs w:val="24"/>
        </w:rPr>
        <w:t>.</w:t>
      </w:r>
      <w:r>
        <w:rPr>
          <w:rFonts w:ascii="Arial" w:hAnsi="Arial" w:cs="Arial"/>
          <w:noProof/>
          <w:color w:val="404040"/>
          <w:sz w:val="21"/>
          <w:szCs w:val="21"/>
          <w:shd w:val="clear" w:color="auto" w:fill="FFFFFF"/>
        </w:rPr>
        <w:t xml:space="preserve"> </w:t>
      </w:r>
      <w:r>
        <w:rPr>
          <w:rFonts w:ascii="Times New Roman" w:hAnsi="Times New Roman" w:cs="Times New Roman"/>
          <w:noProof/>
          <w:sz w:val="24"/>
          <w:szCs w:val="24"/>
        </w:rPr>
        <w:t xml:space="preserve">The No Hate BootCamp project helped youth workers to become "no hate speech ambassadors" in their local communities.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itself seeks to engage the public in reflections on EU security policy. Actions at EU level have been made more visible and accessible to citizens through the new </w:t>
      </w:r>
      <w:r>
        <w:rPr>
          <w:rFonts w:ascii="Times New Roman" w:hAnsi="Times New Roman" w:cs="Times New Roman"/>
          <w:b/>
          <w:bCs/>
          <w:noProof/>
          <w:sz w:val="24"/>
          <w:szCs w:val="24"/>
        </w:rPr>
        <w:t>website on the EU Security Strategy</w:t>
      </w:r>
      <w:r>
        <w:rPr>
          <w:rStyle w:val="FootnoteReference"/>
          <w:rFonts w:ascii="Times New Roman" w:hAnsi="Times New Roman" w:cs="Times New Roman"/>
          <w:noProof/>
          <w:sz w:val="24"/>
          <w:szCs w:val="24"/>
        </w:rPr>
        <w:footnoteReference w:id="204"/>
      </w:r>
      <w:r>
        <w:rPr>
          <w:rFonts w:ascii="Times New Roman" w:hAnsi="Times New Roman" w:cs="Times New Roman"/>
          <w:noProof/>
          <w:sz w:val="24"/>
          <w:szCs w:val="24"/>
        </w:rPr>
        <w:t xml:space="preserve">. Several </w:t>
      </w:r>
      <w:r>
        <w:rPr>
          <w:rFonts w:ascii="Times New Roman" w:hAnsi="Times New Roman" w:cs="Times New Roman"/>
          <w:b/>
          <w:bCs/>
          <w:noProof/>
          <w:sz w:val="24"/>
          <w:szCs w:val="24"/>
        </w:rPr>
        <w:t>public consultations</w:t>
      </w:r>
      <w:r>
        <w:rPr>
          <w:rFonts w:ascii="Times New Roman" w:hAnsi="Times New Roman" w:cs="Times New Roman"/>
          <w:noProof/>
          <w:sz w:val="24"/>
          <w:szCs w:val="24"/>
        </w:rPr>
        <w:t xml:space="preserve"> have been launched, giving citizens an opportunity to directly influence policy formation.</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All victims of crime have rights to support and protection, but victims of the most severe  crimes such as terrorism or sexual exploitation of children need specific attention. On 24 June 2020 the Commission adopted its first ever </w:t>
      </w:r>
      <w:r>
        <w:rPr>
          <w:rFonts w:ascii="Times New Roman" w:hAnsi="Times New Roman" w:cs="Times New Roman"/>
          <w:b/>
          <w:bCs/>
          <w:noProof/>
          <w:sz w:val="24"/>
          <w:szCs w:val="24"/>
        </w:rPr>
        <w:t>EU Strategy on victims’ rights (2020-2025)</w:t>
      </w:r>
      <w:r>
        <w:rPr>
          <w:rStyle w:val="FootnoteReference"/>
          <w:rFonts w:ascii="Times New Roman" w:hAnsi="Times New Roman" w:cs="Times New Roman"/>
          <w:noProof/>
          <w:sz w:val="24"/>
          <w:szCs w:val="24"/>
        </w:rPr>
        <w:footnoteReference w:id="205"/>
      </w:r>
      <w:r>
        <w:rPr>
          <w:rFonts w:ascii="Times New Roman" w:hAnsi="Times New Roman" w:cs="Times New Roman"/>
          <w:noProof/>
          <w:sz w:val="24"/>
          <w:szCs w:val="24"/>
        </w:rPr>
        <w:t xml:space="preserve">. This addresses victims of all crimes, but pays particular attention to the most vulnerable, including victims of terrorism, child victims of sexual exploitation, and victims of trafficking in human beings. On 22 September 2020, the Commission organised a high level Conference on victims’ rights, during which it inaugurated the </w:t>
      </w:r>
      <w:r>
        <w:rPr>
          <w:rFonts w:ascii="Times New Roman" w:hAnsi="Times New Roman" w:cs="Times New Roman"/>
          <w:b/>
          <w:bCs/>
          <w:noProof/>
          <w:sz w:val="24"/>
          <w:szCs w:val="24"/>
        </w:rPr>
        <w:t>Victims’ Rights Platform</w:t>
      </w:r>
      <w:r>
        <w:rPr>
          <w:rFonts w:ascii="Times New Roman" w:hAnsi="Times New Roman" w:cs="Times New Roman"/>
          <w:noProof/>
          <w:sz w:val="24"/>
          <w:szCs w:val="24"/>
        </w:rPr>
        <w:t>, to promote a more horizontal approach to victims’ rights</w:t>
      </w:r>
      <w:r>
        <w:rPr>
          <w:rStyle w:val="FootnoteReference"/>
          <w:rFonts w:ascii="Times New Roman" w:hAnsi="Times New Roman" w:cs="Times New Roman"/>
          <w:noProof/>
          <w:sz w:val="24"/>
          <w:szCs w:val="24"/>
        </w:rPr>
        <w:footnoteReference w:id="206"/>
      </w:r>
      <w:r>
        <w:rPr>
          <w:rFonts w:ascii="Times New Roman" w:hAnsi="Times New Roman" w:cs="Times New Roman"/>
          <w:noProof/>
          <w:sz w:val="24"/>
          <w:szCs w:val="24"/>
        </w:rPr>
        <w:t xml:space="preserve">. The Commission has also appointed its first ever </w:t>
      </w:r>
      <w:r>
        <w:rPr>
          <w:rFonts w:ascii="Times New Roman" w:hAnsi="Times New Roman" w:cs="Times New Roman"/>
          <w:b/>
          <w:bCs/>
          <w:noProof/>
          <w:sz w:val="24"/>
          <w:szCs w:val="24"/>
        </w:rPr>
        <w:t>Coordinator for Victims’ Rights</w:t>
      </w:r>
      <w:r>
        <w:rPr>
          <w:rFonts w:ascii="Times New Roman" w:hAnsi="Times New Roman" w:cs="Times New Roman"/>
          <w:noProof/>
          <w:sz w:val="24"/>
          <w:szCs w:val="24"/>
        </w:rPr>
        <w:t xml:space="preserve">, to support consistency and effectiveness in victims’ rights potlicy.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Regarding </w:t>
      </w:r>
      <w:r>
        <w:rPr>
          <w:rFonts w:ascii="Times New Roman" w:hAnsi="Times New Roman" w:cs="Times New Roman"/>
          <w:b/>
          <w:bCs/>
          <w:noProof/>
          <w:sz w:val="24"/>
          <w:szCs w:val="24"/>
        </w:rPr>
        <w:t>victims of terrorism</w:t>
      </w:r>
      <w:r>
        <w:rPr>
          <w:rFonts w:ascii="Times New Roman" w:hAnsi="Times New Roman" w:cs="Times New Roman"/>
          <w:noProof/>
          <w:sz w:val="24"/>
          <w:szCs w:val="24"/>
        </w:rPr>
        <w:t xml:space="preserve">, the EU Centre of expertise for victims of terrorism was set up in January 2020 to offer expertise, guidance and support to national authorities and victim support organisations. It promotes exchange of best practices and sharing of expertise among the practitioners and specialists across borders. It is not designed to offer direct help to particular victims of terrorism, but to support national structures in providing professional </w:t>
      </w:r>
      <w:r>
        <w:rPr>
          <w:rFonts w:ascii="Times New Roman" w:hAnsi="Times New Roman" w:cs="Times New Roman"/>
          <w:noProof/>
          <w:sz w:val="24"/>
          <w:szCs w:val="24"/>
        </w:rPr>
        <w:lastRenderedPageBreak/>
        <w:t xml:space="preserve">assistance and support, including guidelines to be published in 2020. The EU Centre is a pilot project that will last for two years. The Council Presidency is working on backing this up with a network of single national contact points on victims of terrorism.  </w:t>
      </w:r>
    </w:p>
    <w:p w:rsidR="00872751" w:rsidRDefault="008477BD">
      <w:pPr>
        <w:pStyle w:val="emission"/>
        <w:spacing w:before="360" w:beforeAutospacing="0" w:after="240" w:afterAutospacing="0"/>
        <w:jc w:val="both"/>
        <w:rPr>
          <w:rFonts w:eastAsiaTheme="minorEastAsia"/>
          <w:noProof/>
          <w:sz w:val="20"/>
        </w:rPr>
      </w:pPr>
      <w:r>
        <w:rPr>
          <w:b/>
          <w:bCs/>
          <w:noProof/>
        </w:rPr>
        <w:t>VI</w:t>
      </w:r>
      <w:r>
        <w:rPr>
          <w:b/>
          <w:bCs/>
          <w:noProof/>
        </w:rPr>
        <w:tab/>
        <w:t>CONCLUSION</w:t>
      </w:r>
      <w:r>
        <w:rPr>
          <w:rFonts w:ascii="&amp;quot" w:hAnsi="&amp;quot"/>
          <w:noProof/>
          <w:color w:val="444444"/>
        </w:rPr>
        <w:t xml:space="preserve"> </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Security Union Strategy was put in place to provide a comprehensive and dynamic approach. The recent terrorist attacks have shown again how the EU needs to be able to react, strengthening our resilience and responsiveness by the modernisation and effective deployment of the key tools at our disposal. They have also shown the need for all actors to be fully engaged in a common approach, so that Member States, the EU institutions, the private sector, NGOs, and citizens themselves can all play a role in building a security base sufficiently strong and flexible to deliver. This coherent and consistent approach is also the best way to be sure that our fundamental rights are protected as part of promoting our European way of life.</w:t>
      </w:r>
    </w:p>
    <w:p w:rsidR="00872751" w:rsidRDefault="008477B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This report shows the many workstreams under way, but also how the momentum must be maintained. The goal of the EU Counter-Terrorism Agenda presented today is to strengthen the European framework to counter terrorism by setting out the next steps needed: to anticipate and prevent terrorism, to protect citizens and infrastructure, and to be ready to respond, bearing in mind the internal-external security nexus. We already have more cooperation, more efforts to address radicalisation, more tools to deprive terrorists of means for an attack. Now this must be taken a step further. Emblematic of this is to ensure the adoption of new rules to address terrorist content online, where agreement this year is a major priority. The Commission also urges Member States to accelerate the implementation of all agreed legislation. Ensuring the security of EU citizens is a common responsibility, and taking forward common action must be the collective ambition for a more secure Europe. </w:t>
      </w:r>
    </w:p>
    <w:p w:rsidR="00872751" w:rsidRDefault="00872751">
      <w:pPr>
        <w:spacing w:line="240" w:lineRule="auto"/>
        <w:jc w:val="both"/>
        <w:rPr>
          <w:rFonts w:ascii="Times New Roman" w:hAnsi="Times New Roman" w:cs="Times New Roman"/>
          <w:bCs/>
          <w:noProof/>
          <w:sz w:val="24"/>
          <w:szCs w:val="24"/>
        </w:rPr>
      </w:pPr>
    </w:p>
    <w:p w:rsidR="00872751" w:rsidRDefault="00872751">
      <w:pPr>
        <w:spacing w:line="240" w:lineRule="auto"/>
        <w:rPr>
          <w:noProof/>
        </w:rPr>
      </w:pPr>
    </w:p>
    <w:sectPr w:rsidR="00872751">
      <w:headerReference w:type="even" r:id="rId29"/>
      <w:headerReference w:type="default" r:id="rId30"/>
      <w:footerReference w:type="even" r:id="rId31"/>
      <w:footerReference w:type="default" r:id="rId32"/>
      <w:headerReference w:type="first" r:id="rId33"/>
      <w:footerReference w:type="first" r:id="rId34"/>
      <w:pgSz w:w="11906" w:h="16838"/>
      <w:pgMar w:top="1417" w:right="141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32B1" w:rsidRDefault="00CC32B1">
      <w:pPr>
        <w:spacing w:after="0" w:line="240" w:lineRule="auto"/>
      </w:pPr>
      <w:r>
        <w:separator/>
      </w:r>
    </w:p>
  </w:endnote>
  <w:endnote w:type="continuationSeparator" w:id="0">
    <w:p w:rsidR="00CC32B1" w:rsidRDefault="00CC32B1">
      <w:pPr>
        <w:spacing w:after="0" w:line="240" w:lineRule="auto"/>
      </w:pPr>
      <w:r>
        <w:continuationSeparator/>
      </w:r>
    </w:p>
  </w:endnote>
  <w:endnote w:type="continuationNotice" w:id="1">
    <w:p w:rsidR="00CC32B1" w:rsidRDefault="00CC32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mp;quo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B0A" w:rsidRPr="009D1084" w:rsidRDefault="00310B0A" w:rsidP="009D10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B0A" w:rsidRPr="009D1084" w:rsidRDefault="00310B0A" w:rsidP="009D1084">
    <w:pPr>
      <w:pStyle w:val="FooterCoverPage"/>
      <w:rPr>
        <w:rFonts w:ascii="Arial" w:hAnsi="Arial" w:cs="Arial"/>
        <w:b/>
        <w:sz w:val="48"/>
      </w:rPr>
    </w:pPr>
    <w:r w:rsidRPr="009D1084">
      <w:rPr>
        <w:rFonts w:ascii="Arial" w:hAnsi="Arial" w:cs="Arial"/>
        <w:b/>
        <w:sz w:val="48"/>
      </w:rPr>
      <w:t>EN</w:t>
    </w:r>
    <w:r w:rsidRPr="009D1084">
      <w:rPr>
        <w:rFonts w:ascii="Arial" w:hAnsi="Arial" w:cs="Arial"/>
        <w:b/>
        <w:sz w:val="48"/>
      </w:rPr>
      <w:tab/>
    </w:r>
    <w:r w:rsidRPr="009D1084">
      <w:rPr>
        <w:rFonts w:ascii="Arial" w:hAnsi="Arial" w:cs="Arial"/>
        <w:b/>
        <w:sz w:val="48"/>
      </w:rPr>
      <w:tab/>
    </w:r>
    <w:r w:rsidRPr="009D1084">
      <w:tab/>
    </w:r>
    <w:proofErr w:type="spellStart"/>
    <w:r w:rsidRPr="009D1084">
      <w:rPr>
        <w:rFonts w:ascii="Arial" w:hAnsi="Arial" w:cs="Arial"/>
        <w:b/>
        <w:sz w:val="48"/>
      </w:rPr>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B0A" w:rsidRPr="009D1084" w:rsidRDefault="00310B0A" w:rsidP="009D108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751" w:rsidRDefault="0087275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2447007"/>
      <w:docPartObj>
        <w:docPartGallery w:val="Page Numbers (Bottom of Page)"/>
        <w:docPartUnique/>
      </w:docPartObj>
    </w:sdtPr>
    <w:sdtEndPr>
      <w:rPr>
        <w:noProof/>
      </w:rPr>
    </w:sdtEndPr>
    <w:sdtContent>
      <w:p w:rsidR="00872751" w:rsidRDefault="008477BD">
        <w:pPr>
          <w:pStyle w:val="Footer"/>
          <w:jc w:val="center"/>
        </w:pPr>
        <w:r>
          <w:fldChar w:fldCharType="begin"/>
        </w:r>
        <w:r>
          <w:instrText xml:space="preserve"> PAGE   \* MERGEFORMAT </w:instrText>
        </w:r>
        <w:r>
          <w:fldChar w:fldCharType="separate"/>
        </w:r>
        <w:r w:rsidR="00AF562E">
          <w:rPr>
            <w:noProof/>
          </w:rPr>
          <w:t>7</w:t>
        </w:r>
        <w:r>
          <w:rPr>
            <w:noProof/>
          </w:rPr>
          <w:fldChar w:fldCharType="end"/>
        </w:r>
      </w:p>
    </w:sdtContent>
  </w:sdt>
  <w:p w:rsidR="00872751" w:rsidRDefault="0087275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751" w:rsidRDefault="008727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32B1" w:rsidRDefault="00CC32B1">
      <w:pPr>
        <w:spacing w:after="0" w:line="240" w:lineRule="auto"/>
      </w:pPr>
      <w:r>
        <w:separator/>
      </w:r>
    </w:p>
  </w:footnote>
  <w:footnote w:type="continuationSeparator" w:id="0">
    <w:p w:rsidR="00CC32B1" w:rsidRDefault="00CC32B1">
      <w:pPr>
        <w:spacing w:after="0" w:line="240" w:lineRule="auto"/>
      </w:pPr>
      <w:r>
        <w:continuationSeparator/>
      </w:r>
    </w:p>
  </w:footnote>
  <w:footnote w:type="continuationNotice" w:id="1">
    <w:p w:rsidR="00CC32B1" w:rsidRDefault="00CC32B1">
      <w:pPr>
        <w:spacing w:after="0" w:line="240" w:lineRule="auto"/>
      </w:pPr>
    </w:p>
  </w:footnote>
  <w:footnote w:id="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 (2020) 605.</w:t>
      </w:r>
    </w:p>
  </w:footnote>
  <w:footnote w:id="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2016) 230.</w:t>
      </w:r>
    </w:p>
  </w:footnote>
  <w:footnote w:id="4">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 xml:space="preserve">During the Hearing of Vice-President </w:t>
      </w:r>
      <w:proofErr w:type="spellStart"/>
      <w:r>
        <w:rPr>
          <w:rFonts w:ascii="Times New Roman" w:hAnsi="Times New Roman" w:cs="Times New Roman"/>
        </w:rPr>
        <w:t>Schinas</w:t>
      </w:r>
      <w:proofErr w:type="spellEnd"/>
      <w:r>
        <w:rPr>
          <w:rFonts w:ascii="Times New Roman" w:hAnsi="Times New Roman" w:cs="Times New Roman"/>
        </w:rPr>
        <w:t xml:space="preserve"> in front of the European Parliament on 3.10.2019.</w:t>
      </w:r>
    </w:p>
  </w:footnote>
  <w:footnote w:id="5">
    <w:p w:rsidR="00872751" w:rsidRPr="00310B0A" w:rsidRDefault="008477BD">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sidRPr="00310B0A">
        <w:rPr>
          <w:rStyle w:val="FootnoteReference"/>
          <w:rFonts w:ascii="Times New Roman" w:hAnsi="Times New Roman" w:cs="Times New Roman"/>
          <w:lang w:val="pt-PT"/>
        </w:rPr>
        <w:t xml:space="preserve"> </w:t>
      </w:r>
      <w:r w:rsidRPr="00310B0A">
        <w:rPr>
          <w:rFonts w:ascii="Times New Roman" w:hAnsi="Times New Roman" w:cs="Times New Roman"/>
          <w:lang w:val="pt-PT"/>
        </w:rPr>
        <w:tab/>
      </w:r>
      <w:hyperlink w:history="1"/>
      <w:r w:rsidRPr="00310B0A">
        <w:rPr>
          <w:rFonts w:ascii="Times New Roman" w:hAnsi="Times New Roman" w:cs="Times New Roman"/>
          <w:lang w:val="pt-PT"/>
        </w:rPr>
        <w:t>COM(2019) 552.</w:t>
      </w:r>
    </w:p>
  </w:footnote>
  <w:footnote w:id="6">
    <w:p w:rsidR="00872751" w:rsidRPr="00310B0A" w:rsidRDefault="008477BD">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sidRPr="00310B0A">
        <w:rPr>
          <w:rFonts w:ascii="Times New Roman" w:hAnsi="Times New Roman" w:cs="Times New Roman"/>
          <w:lang w:val="pt-PT"/>
        </w:rPr>
        <w:t xml:space="preserve"> </w:t>
      </w:r>
      <w:r w:rsidRPr="00310B0A">
        <w:rPr>
          <w:rFonts w:ascii="Times New Roman" w:hAnsi="Times New Roman" w:cs="Times New Roman"/>
          <w:lang w:val="pt-PT"/>
        </w:rPr>
        <w:tab/>
      </w:r>
      <w:r w:rsidRPr="00310B0A">
        <w:rPr>
          <w:rFonts w:ascii="Times New Roman" w:hAnsi="Times New Roman" w:cs="Times New Roman"/>
          <w:lang w:val="pt-PT"/>
        </w:rPr>
        <w:t xml:space="preserve">Directive </w:t>
      </w:r>
      <w:r w:rsidRPr="00310B0A">
        <w:rPr>
          <w:rFonts w:ascii="Times New Roman" w:hAnsi="Times New Roman" w:cs="Times New Roman"/>
          <w:lang w:val="pt-PT"/>
        </w:rPr>
        <w:t xml:space="preserve">2008/114/EC and Directive (EU) 2016/1148.. </w:t>
      </w:r>
    </w:p>
  </w:footnote>
  <w:footnote w:id="7">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Pr="00310B0A">
        <w:rPr>
          <w:rFonts w:ascii="Times New Roman" w:hAnsi="Times New Roman" w:cs="Times New Roman"/>
          <w:lang w:val="pt-PT"/>
        </w:rPr>
        <w:t xml:space="preserve"> </w:t>
      </w:r>
      <w:r w:rsidRPr="00310B0A">
        <w:rPr>
          <w:rFonts w:ascii="Times New Roman" w:hAnsi="Times New Roman" w:cs="Times New Roman"/>
          <w:lang w:val="pt-PT"/>
        </w:rPr>
        <w:tab/>
      </w:r>
      <w:r w:rsidRPr="00310B0A">
        <w:rPr>
          <w:rFonts w:ascii="Times New Roman" w:hAnsi="Times New Roman" w:cs="Times New Roman"/>
          <w:lang w:val="pt-PT"/>
        </w:rPr>
        <w:t xml:space="preserve">COM(2019) </w:t>
      </w:r>
      <w:r w:rsidRPr="00310B0A">
        <w:rPr>
          <w:rFonts w:ascii="Times New Roman" w:hAnsi="Times New Roman" w:cs="Times New Roman"/>
          <w:lang w:val="pt-PT"/>
        </w:rPr>
        <w:t xml:space="preserve">546. </w:t>
      </w:r>
      <w:r>
        <w:rPr>
          <w:rFonts w:ascii="Times New Roman" w:hAnsi="Times New Roman" w:cs="Times New Roman"/>
        </w:rPr>
        <w:t xml:space="preserve">The Commission also undertook a public consultation (7 July-2 October 2020) and country visits in all Member States aimed at verifying conformity in the implementation of the Directive through meetings with operators and national authorities. </w:t>
      </w:r>
    </w:p>
  </w:footnote>
  <w:footnote w:id="8">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lang w:val="en-IE"/>
        </w:rPr>
        <w:t>COM(</w:t>
      </w:r>
      <w:proofErr w:type="gramEnd"/>
      <w:r>
        <w:rPr>
          <w:rFonts w:ascii="Times New Roman" w:hAnsi="Times New Roman" w:cs="Times New Roman"/>
          <w:lang w:val="en-IE"/>
        </w:rPr>
        <w:t xml:space="preserve">2019) 546. </w:t>
      </w:r>
    </w:p>
  </w:footnote>
  <w:footnote w:id="9">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shd w:val="clear" w:color="auto" w:fill="FFFFFF"/>
        </w:rPr>
        <w:t>C(</w:t>
      </w:r>
      <w:proofErr w:type="gramEnd"/>
      <w:r>
        <w:rPr>
          <w:rStyle w:val="Strong"/>
          <w:rFonts w:ascii="Times New Roman" w:hAnsi="Times New Roman" w:cs="Times New Roman"/>
          <w:b w:val="0"/>
          <w:bCs w:val="0"/>
        </w:rPr>
        <w:t>2019</w:t>
      </w:r>
      <w:r>
        <w:rPr>
          <w:rFonts w:ascii="Times New Roman" w:hAnsi="Times New Roman" w:cs="Times New Roman"/>
          <w:shd w:val="clear" w:color="auto" w:fill="FFFFFF"/>
        </w:rPr>
        <w:t>) 2400</w:t>
      </w:r>
      <w:r>
        <w:rPr>
          <w:rFonts w:ascii="Times New Roman" w:hAnsi="Times New Roman" w:cs="Times New Roman"/>
        </w:rPr>
        <w:t>.</w:t>
      </w:r>
    </w:p>
  </w:footnote>
  <w:footnote w:id="1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OJ L 158, 14.6.2019, p. 1–21.</w:t>
      </w:r>
    </w:p>
  </w:footnote>
  <w:footnote w:id="11">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eastAsia="Times New Roman" w:hAnsi="Times New Roman" w:cs="Times New Roman"/>
        </w:rPr>
        <w:t>Energy security: good practices to address pandemic risks</w:t>
      </w:r>
      <w:r>
        <w:rPr>
          <w:rFonts w:ascii="Times New Roman" w:hAnsi="Times New Roman" w:cs="Times New Roman"/>
        </w:rPr>
        <w:t xml:space="preserve"> (</w:t>
      </w:r>
      <w:proofErr w:type="gramStart"/>
      <w:r>
        <w:rPr>
          <w:rFonts w:ascii="Times New Roman" w:hAnsi="Times New Roman" w:cs="Times New Roman"/>
        </w:rPr>
        <w:t>SWD(</w:t>
      </w:r>
      <w:proofErr w:type="gramEnd"/>
      <w:r>
        <w:rPr>
          <w:rFonts w:ascii="Times New Roman" w:hAnsi="Times New Roman" w:cs="Times New Roman"/>
        </w:rPr>
        <w:t>2020) 104).</w:t>
      </w:r>
      <w:r>
        <w:rPr>
          <w:rFonts w:ascii="Times New Roman" w:hAnsi="Times New Roman" w:cs="Times New Roman"/>
        </w:rPr>
        <w:tab/>
      </w:r>
    </w:p>
  </w:footnote>
  <w:footnote w:id="1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https://ec.europa.eu/info/publications/200924-digital-finance-proposals_en. </w:t>
      </w:r>
    </w:p>
  </w:footnote>
  <w:footnote w:id="13">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2020) 595.</w:t>
      </w:r>
    </w:p>
  </w:footnote>
  <w:footnote w:id="14">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proposal sets out a coherent baseline for the ICT risk management requirements, the ICT incident reporting to financial supervisors, digital testing, and information sharing. In addition, the proposal submits critical ICT third-party service providers to an oversight framework at European scale.</w:t>
      </w:r>
    </w:p>
  </w:footnote>
  <w:footnote w:id="1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Decision No 1313/2013/EU of 17 December 2013 on a Union Civil Protection Mechanism.</w:t>
      </w:r>
    </w:p>
  </w:footnote>
  <w:footnote w:id="1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2020) 220.</w:t>
      </w:r>
    </w:p>
  </w:footnote>
  <w:footnote w:id="17">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Proposal to amend Decision No 1313/2013/EU on a Union Civil Protection Mechanism - Mandate for negotiations with the European Parliament</w:t>
      </w:r>
    </w:p>
  </w:footnote>
  <w:footnote w:id="18">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ENISA </w:t>
      </w:r>
      <w:hyperlink r:id="rId1" w:history="1">
        <w:r>
          <w:rPr>
            <w:rStyle w:val="Hyperlink"/>
            <w:rFonts w:ascii="Times New Roman" w:hAnsi="Times New Roman" w:cs="Times New Roman"/>
          </w:rPr>
          <w:t>Threat Landscape 2020</w:t>
        </w:r>
      </w:hyperlink>
      <w:r>
        <w:rPr>
          <w:rFonts w:ascii="Times New Roman" w:hAnsi="Times New Roman" w:cs="Times New Roman"/>
        </w:rPr>
        <w:t xml:space="preserve">: Cyber Attacks Becoming More Sophisticated, Targeted, Widespread and Undetected. </w:t>
      </w:r>
    </w:p>
  </w:footnote>
  <w:footnote w:id="19">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Since the outbreak of the pandemic, EU agencies and Member States have detected a significant rise in cyber-attacks, including against the healthcare sector.</w:t>
      </w:r>
    </w:p>
  </w:footnote>
  <w:footnote w:id="2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 xml:space="preserve">2020) 66. </w:t>
      </w:r>
    </w:p>
  </w:footnote>
  <w:footnote w:id="21">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Regulation (EU) 2018/1807. </w:t>
      </w:r>
    </w:p>
  </w:footnote>
  <w:footnote w:id="2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2019)2335.</w:t>
      </w:r>
    </w:p>
  </w:footnote>
  <w:footnote w:id="2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Report on </w:t>
      </w:r>
      <w:hyperlink r:id="rId2" w:history="1">
        <w:r>
          <w:rPr>
            <w:rStyle w:val="Hyperlink"/>
            <w:rFonts w:ascii="Times New Roman" w:hAnsi="Times New Roman" w:cs="Times New Roman"/>
          </w:rPr>
          <w:t>EU coordinated risk assessment of the cybersecurity of 5G networks</w:t>
        </w:r>
      </w:hyperlink>
      <w:r>
        <w:rPr>
          <w:rFonts w:ascii="Times New Roman" w:hAnsi="Times New Roman" w:cs="Times New Roman"/>
        </w:rPr>
        <w:t>.</w:t>
      </w:r>
    </w:p>
  </w:footnote>
  <w:footnote w:id="24">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NIS Cooperation Group was set up to ensure strategic cooperation and the exchange of information among EU Member States in cybersecurity.</w:t>
      </w:r>
    </w:p>
  </w:footnote>
  <w:footnote w:id="2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3" w:history="1">
        <w:r>
          <w:rPr>
            <w:rStyle w:val="Hyperlink"/>
            <w:rFonts w:ascii="Times New Roman" w:hAnsi="Times New Roman" w:cs="Times New Roman"/>
          </w:rPr>
          <w:t>https://ec.europa.eu/digital-single-market/en/news/cybersecurity-5g-networks-eu-toolbox-risk-mitigating-measures</w:t>
        </w:r>
      </w:hyperlink>
      <w:r>
        <w:rPr>
          <w:rStyle w:val="Hyperlink"/>
          <w:rFonts w:ascii="Times New Roman" w:hAnsi="Times New Roman" w:cs="Times New Roman"/>
        </w:rPr>
        <w:t>.</w:t>
      </w:r>
      <w:r>
        <w:rPr>
          <w:rFonts w:ascii="Times New Roman" w:hAnsi="Times New Roman" w:cs="Times New Roman"/>
        </w:rPr>
        <w:t xml:space="preserve"> </w:t>
      </w:r>
    </w:p>
  </w:footnote>
  <w:footnote w:id="2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2020) 50.</w:t>
      </w:r>
    </w:p>
  </w:footnote>
  <w:footnote w:id="27">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Regulation (EU) 2019/452. This also contains explicit references to “critical infrastructure” (as well as “critical technologies”) more broadly as “factors that may be taken into consideration by Member States or the Commission” when assessing the potential impact of an investment.</w:t>
      </w:r>
    </w:p>
  </w:footnote>
  <w:footnote w:id="28">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Report on </w:t>
      </w:r>
      <w:hyperlink r:id="rId4" w:history="1">
        <w:r>
          <w:rPr>
            <w:rStyle w:val="Hyperlink"/>
            <w:rFonts w:ascii="Times New Roman" w:hAnsi="Times New Roman" w:cs="Times New Roman"/>
          </w:rPr>
          <w:t>Member States’ progress in implementing the EU Toolbox</w:t>
        </w:r>
      </w:hyperlink>
      <w:r>
        <w:rPr>
          <w:rFonts w:ascii="Times New Roman" w:hAnsi="Times New Roman" w:cs="Times New Roman"/>
        </w:rPr>
        <w:t xml:space="preserve"> on 5G Cybersecurity. </w:t>
      </w:r>
    </w:p>
  </w:footnote>
  <w:footnote w:id="29">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EU Institutions and bodies gathered in a COVID-19 Cyber Task Force and launched a weekly Sectorial Situational Awareness and Analysis report. ENISA and Europol launched campaigns on how to remain cyber secure during COVID-19. CERT-EU has issued guidance on how to set up secure VPNs. In the summer of 2019, the Cooperation Group established a new workstream dedicated to cybersecurity in Health and the Commission and ENISA launched an EU Health Information Sharing and Analysis Centre.</w:t>
      </w:r>
    </w:p>
  </w:footnote>
  <w:footnote w:id="3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5" w:history="1">
        <w:r>
          <w:rPr>
            <w:rStyle w:val="Hyperlink"/>
            <w:rFonts w:ascii="Times New Roman" w:hAnsi="Times New Roman" w:cs="Times New Roman"/>
          </w:rPr>
          <w:t>https://www.enisa.europa.eu/news/enisa-news/blue-olex-2020-the-european-union-member-states-launch-the-cyber-crisis-liaison-organisation-network-cyclone</w:t>
        </w:r>
      </w:hyperlink>
      <w:r>
        <w:rPr>
          <w:rStyle w:val="Hyperlink"/>
          <w:rFonts w:ascii="Times New Roman" w:hAnsi="Times New Roman" w:cs="Times New Roman"/>
        </w:rPr>
        <w:t>.</w:t>
      </w:r>
      <w:r>
        <w:rPr>
          <w:rFonts w:ascii="Times New Roman" w:hAnsi="Times New Roman" w:cs="Times New Roman"/>
        </w:rPr>
        <w:t xml:space="preserve"> </w:t>
      </w:r>
    </w:p>
  </w:footnote>
  <w:footnote w:id="31">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proofErr w:type="gramStart"/>
      <w:r>
        <w:rPr>
          <w:rFonts w:ascii="Times New Roman" w:hAnsi="Times New Roman" w:cs="Times New Roman"/>
        </w:rPr>
        <w:t>C(</w:t>
      </w:r>
      <w:proofErr w:type="gramEnd"/>
      <w:r>
        <w:rPr>
          <w:rFonts w:ascii="Times New Roman" w:hAnsi="Times New Roman" w:cs="Times New Roman"/>
        </w:rPr>
        <w:t>2017) 6100.</w:t>
      </w:r>
    </w:p>
  </w:footnote>
  <w:footnote w:id="32">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EU promotes the strategic framework for conflict prevention, stability and cooperation in cyberspace, including through EU participation in the United Nations’ discussions on cyber issues. Two important processes are the Open-ended Working Group on developments in the field of information and telecommunications in the context of international security; and the Group of Governmental Experts (GGE) to advance responsible State behaviour in cyberspace. Issues include the impact of international law, the implementation of agreed non-binding voluntary norms of responsible state behaviour and confidence building measures, as well as developing implementation through targeted capacity building.</w:t>
      </w:r>
    </w:p>
  </w:footnote>
  <w:footnote w:id="33">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https://www.consilium.europa.eu/en/press/press-releases/2020/04/30/declaration-by-the-high-representative-josep-borrell-on-behalf-of-the-european-union-on-malicious-cyber-activities-exploiting-the-coronavirus-pandemic/</w:t>
      </w:r>
      <w:r>
        <w:rPr>
          <w:rFonts w:ascii="Times New Roman" w:hAnsi="Times New Roman" w:cs="Times New Roman"/>
          <w:lang w:val="en-IE"/>
        </w:rPr>
        <w:t>.</w:t>
      </w:r>
    </w:p>
  </w:footnote>
  <w:footnote w:id="34">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IE"/>
        </w:rPr>
        <w:t xml:space="preserve">Council Decisions (CFSP) </w:t>
      </w:r>
      <w:r>
        <w:rPr>
          <w:rFonts w:ascii="Times New Roman" w:hAnsi="Times New Roman" w:cs="Times New Roman"/>
        </w:rPr>
        <w:t xml:space="preserve">2020/1127, 2020/1537, and </w:t>
      </w:r>
      <w:r>
        <w:rPr>
          <w:rFonts w:ascii="Times New Roman" w:hAnsi="Times New Roman" w:cs="Times New Roman"/>
          <w:lang w:val="en-IE"/>
        </w:rPr>
        <w:t>2020/651 as part of 9916/17.</w:t>
      </w:r>
    </w:p>
  </w:footnote>
  <w:footnote w:id="3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 xml:space="preserve">2016) 616. The Commission proposal aims at amending and recasting Regulation 428/2009, which set </w:t>
      </w:r>
      <w:proofErr w:type="gramStart"/>
      <w:r>
        <w:rPr>
          <w:rFonts w:ascii="Times New Roman" w:hAnsi="Times New Roman" w:cs="Times New Roman"/>
        </w:rPr>
        <w:t>up  a</w:t>
      </w:r>
      <w:proofErr w:type="gramEnd"/>
      <w:r>
        <w:rPr>
          <w:rFonts w:ascii="Times New Roman" w:hAnsi="Times New Roman" w:cs="Times New Roman"/>
        </w:rPr>
        <w:t xml:space="preserve"> Community regime for the control of exports, transfer, brokering and transit of dual-use.</w:t>
      </w:r>
    </w:p>
  </w:footnote>
  <w:footnote w:id="3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These are a vast group of goods, materials, software and technology which can be used for both civil and military purposes.</w:t>
      </w:r>
    </w:p>
  </w:footnote>
  <w:footnote w:id="37">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 (2020) 795.</w:t>
      </w:r>
    </w:p>
  </w:footnote>
  <w:footnote w:id="38">
    <w:p w:rsidR="00872751" w:rsidRPr="00310B0A"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Pr="00310B0A">
        <w:rPr>
          <w:rFonts w:ascii="Times New Roman" w:hAnsi="Times New Roman" w:cs="Times New Roman"/>
        </w:rPr>
        <w:t xml:space="preserve"> </w:t>
      </w:r>
      <w:r w:rsidRPr="00310B0A">
        <w:rPr>
          <w:rFonts w:ascii="Times New Roman" w:hAnsi="Times New Roman" w:cs="Times New Roman"/>
        </w:rPr>
        <w:tab/>
        <w:t xml:space="preserve">The 2019 </w:t>
      </w:r>
      <w:hyperlink r:id="rId6" w:history="1">
        <w:r w:rsidRPr="00310B0A">
          <w:rPr>
            <w:rStyle w:val="Hyperlink"/>
            <w:rFonts w:ascii="Times New Roman" w:hAnsi="Times New Roman" w:cs="Times New Roman"/>
          </w:rPr>
          <w:t>ISF Protect call</w:t>
        </w:r>
      </w:hyperlink>
      <w:r w:rsidRPr="00310B0A">
        <w:rPr>
          <w:rFonts w:ascii="Times New Roman" w:hAnsi="Times New Roman" w:cs="Times New Roman"/>
        </w:rPr>
        <w:t xml:space="preserve"> included ‘Secu4All’, developing a comprehensive training cycle for local authorities to provide citizens with a safe urban environment, and ‘</w:t>
      </w:r>
      <w:proofErr w:type="spellStart"/>
      <w:r w:rsidRPr="00310B0A">
        <w:rPr>
          <w:rFonts w:ascii="Times New Roman" w:hAnsi="Times New Roman" w:cs="Times New Roman"/>
        </w:rPr>
        <w:t>DroneWISE</w:t>
      </w:r>
      <w:proofErr w:type="spellEnd"/>
      <w:r w:rsidRPr="00310B0A">
        <w:rPr>
          <w:rFonts w:ascii="Times New Roman" w:hAnsi="Times New Roman" w:cs="Times New Roman"/>
        </w:rPr>
        <w:t>’ to strengthen the preparedness of first responders to counter hostile unmanned aerial vehicles.</w:t>
      </w:r>
      <w:r>
        <w:rPr>
          <w:rFonts w:ascii="Times New Roman" w:hAnsi="Times New Roman" w:cs="Times New Roman"/>
        </w:rPr>
        <w:t xml:space="preserve"> </w:t>
      </w:r>
      <w:r w:rsidRPr="00310B0A">
        <w:rPr>
          <w:rFonts w:ascii="Times New Roman" w:hAnsi="Times New Roman" w:cs="Times New Roman"/>
        </w:rPr>
        <w:t xml:space="preserve">In 2020, a new € 12m </w:t>
      </w:r>
      <w:proofErr w:type="spellStart"/>
      <w:r w:rsidRPr="00310B0A">
        <w:rPr>
          <w:rFonts w:ascii="Times New Roman" w:hAnsi="Times New Roman" w:cs="Times New Roman"/>
        </w:rPr>
        <w:t>cal</w:t>
      </w:r>
      <w:proofErr w:type="spellEnd"/>
      <w:r w:rsidRPr="00310B0A">
        <w:rPr>
          <w:rFonts w:ascii="Times New Roman" w:hAnsi="Times New Roman" w:cs="Times New Roman"/>
        </w:rPr>
        <w:t xml:space="preserve"> Will take place on the protection of public spaces.</w:t>
      </w:r>
      <w:r>
        <w:rPr>
          <w:rFonts w:ascii="Times New Roman" w:hAnsi="Times New Roman" w:cs="Times New Roman"/>
        </w:rPr>
        <w:t xml:space="preserve"> </w:t>
      </w:r>
    </w:p>
  </w:footnote>
  <w:footnote w:id="39">
    <w:p w:rsidR="00872751" w:rsidRPr="00310B0A"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Pr="00310B0A">
        <w:rPr>
          <w:rFonts w:ascii="Times New Roman" w:hAnsi="Times New Roman" w:cs="Times New Roman"/>
        </w:rPr>
        <w:t xml:space="preserve"> </w:t>
      </w:r>
      <w:r w:rsidRPr="00310B0A">
        <w:rPr>
          <w:rFonts w:ascii="Times New Roman" w:hAnsi="Times New Roman" w:cs="Times New Roman"/>
        </w:rPr>
        <w:tab/>
      </w:r>
      <w:proofErr w:type="gramStart"/>
      <w:r w:rsidRPr="00310B0A">
        <w:rPr>
          <w:rFonts w:ascii="Times New Roman" w:hAnsi="Times New Roman" w:cs="Times New Roman"/>
        </w:rPr>
        <w:t>COM(</w:t>
      </w:r>
      <w:proofErr w:type="gramEnd"/>
      <w:r w:rsidRPr="00310B0A">
        <w:rPr>
          <w:rFonts w:ascii="Times New Roman" w:hAnsi="Times New Roman" w:cs="Times New Roman"/>
        </w:rPr>
        <w:t>2017) 612.</w:t>
      </w:r>
    </w:p>
  </w:footnote>
  <w:footnote w:id="40">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SWD(</w:t>
      </w:r>
      <w:proofErr w:type="gramEnd"/>
      <w:r>
        <w:rPr>
          <w:rFonts w:ascii="Times New Roman" w:hAnsi="Times New Roman" w:cs="Times New Roman"/>
        </w:rPr>
        <w:t>2019) 140.</w:t>
      </w:r>
    </w:p>
  </w:footnote>
  <w:footnote w:id="41">
    <w:p w:rsidR="00872751" w:rsidRPr="00310B0A"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Pr="00310B0A">
        <w:rPr>
          <w:rFonts w:ascii="Times New Roman" w:hAnsi="Times New Roman" w:cs="Times New Roman"/>
        </w:rPr>
        <w:t xml:space="preserve"> </w:t>
      </w:r>
      <w:r w:rsidRPr="00310B0A">
        <w:rPr>
          <w:rFonts w:ascii="Times New Roman" w:hAnsi="Times New Roman" w:cs="Times New Roman"/>
        </w:rPr>
        <w:tab/>
        <w:t>Commission Implementing Regulation (EU) 2019/947.</w:t>
      </w:r>
    </w:p>
  </w:footnote>
  <w:footnote w:id="42">
    <w:p w:rsidR="00872751" w:rsidRPr="00310B0A"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Pr="00310B0A">
        <w:rPr>
          <w:rFonts w:ascii="Times New Roman" w:hAnsi="Times New Roman" w:cs="Times New Roman"/>
        </w:rPr>
        <w:t xml:space="preserve"> </w:t>
      </w:r>
      <w:r w:rsidRPr="00310B0A">
        <w:rPr>
          <w:rFonts w:ascii="Times New Roman" w:hAnsi="Times New Roman" w:cs="Times New Roman"/>
        </w:rPr>
        <w:tab/>
        <w:t xml:space="preserve">The Commission may table </w:t>
      </w:r>
      <w:proofErr w:type="spellStart"/>
      <w:r w:rsidRPr="00310B0A">
        <w:rPr>
          <w:rFonts w:ascii="Times New Roman" w:hAnsi="Times New Roman" w:cs="Times New Roman"/>
        </w:rPr>
        <w:t>na</w:t>
      </w:r>
      <w:proofErr w:type="spellEnd"/>
      <w:r w:rsidRPr="00310B0A">
        <w:rPr>
          <w:rFonts w:ascii="Times New Roman" w:hAnsi="Times New Roman" w:cs="Times New Roman"/>
        </w:rPr>
        <w:t xml:space="preserve"> implementing regulation to this effect, which would be adopted under </w:t>
      </w:r>
      <w:proofErr w:type="spellStart"/>
      <w:r w:rsidRPr="00310B0A">
        <w:rPr>
          <w:rFonts w:ascii="Times New Roman" w:hAnsi="Times New Roman" w:cs="Times New Roman"/>
        </w:rPr>
        <w:t>na</w:t>
      </w:r>
      <w:proofErr w:type="spellEnd"/>
      <w:r w:rsidRPr="00310B0A">
        <w:rPr>
          <w:rFonts w:ascii="Times New Roman" w:hAnsi="Times New Roman" w:cs="Times New Roman"/>
        </w:rPr>
        <w:t xml:space="preserve"> examination procedure involving the aviation safety committee.</w:t>
      </w:r>
    </w:p>
  </w:footnote>
  <w:footnote w:id="4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The Action Plan has been adopted and is available on </w:t>
      </w:r>
      <w:proofErr w:type="spellStart"/>
      <w:r>
        <w:rPr>
          <w:rFonts w:ascii="Times New Roman" w:hAnsi="Times New Roman" w:cs="Times New Roman"/>
        </w:rPr>
        <w:t>Futurium</w:t>
      </w:r>
      <w:proofErr w:type="spellEnd"/>
      <w:r>
        <w:rPr>
          <w:rFonts w:ascii="Times New Roman" w:hAnsi="Times New Roman" w:cs="Times New Roman"/>
        </w:rPr>
        <w:t xml:space="preserve">: </w:t>
      </w:r>
      <w:hyperlink r:id="rId7" w:history="1">
        <w:r>
          <w:rPr>
            <w:rStyle w:val="Hyperlink"/>
            <w:rFonts w:ascii="Times New Roman" w:hAnsi="Times New Roman" w:cs="Times New Roman"/>
          </w:rPr>
          <w:t>https://ec.europa.eu/futurium/en/security-public-spaces/security-public-spaces-partnership-final-action-plan-0</w:t>
        </w:r>
      </w:hyperlink>
      <w:r>
        <w:rPr>
          <w:rStyle w:val="Hyperlink"/>
          <w:rFonts w:ascii="Times New Roman" w:hAnsi="Times New Roman" w:cs="Times New Roman"/>
        </w:rPr>
        <w:t>.</w:t>
      </w:r>
      <w:r>
        <w:rPr>
          <w:rFonts w:ascii="Times New Roman" w:hAnsi="Times New Roman" w:cs="Times New Roman"/>
        </w:rPr>
        <w:t xml:space="preserve"> </w:t>
      </w:r>
    </w:p>
    <w:p w:rsidR="00872751" w:rsidRDefault="00872751">
      <w:pPr>
        <w:pStyle w:val="FootnoteText"/>
        <w:ind w:left="284" w:hanging="284"/>
        <w:jc w:val="both"/>
        <w:rPr>
          <w:rFonts w:ascii="Times New Roman" w:hAnsi="Times New Roman" w:cs="Times New Roman"/>
        </w:rPr>
      </w:pPr>
    </w:p>
  </w:footnote>
  <w:footnote w:id="44">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sidRPr="00310B0A">
        <w:rPr>
          <w:rFonts w:ascii="Times New Roman" w:hAnsi="Times New Roman" w:cs="Times New Roman"/>
        </w:rPr>
        <w:t xml:space="preserve">Internet Organised Crime Threat Assessment (IOCTA) 2020, October 2020 </w:t>
      </w:r>
    </w:p>
  </w:footnote>
  <w:footnote w:id="45">
    <w:p w:rsidR="00872751" w:rsidRPr="00310B0A" w:rsidRDefault="008477BD">
      <w:pPr>
        <w:pStyle w:val="FootnoteText"/>
        <w:ind w:left="284" w:hanging="284"/>
        <w:jc w:val="both"/>
        <w:rPr>
          <w:rStyle w:val="Hyperlink"/>
          <w:rFonts w:ascii="Times New Roman" w:hAnsi="Times New Roman" w:cs="Times New Roman"/>
        </w:rPr>
      </w:pPr>
      <w:r>
        <w:rPr>
          <w:rStyle w:val="FootnoteReference"/>
          <w:rFonts w:ascii="Times New Roman" w:hAnsi="Times New Roman" w:cs="Times New Roman"/>
        </w:rPr>
        <w:footnoteRef/>
      </w:r>
      <w:r w:rsidRPr="00310B0A">
        <w:rPr>
          <w:rFonts w:ascii="Times New Roman" w:hAnsi="Times New Roman" w:cs="Times New Roman"/>
        </w:rPr>
        <w:t xml:space="preserve"> </w:t>
      </w:r>
      <w:r w:rsidRPr="00310B0A">
        <w:rPr>
          <w:rFonts w:ascii="Times New Roman" w:hAnsi="Times New Roman" w:cs="Times New Roman"/>
        </w:rPr>
        <w:tab/>
        <w:t xml:space="preserve">Report on Exploiting isolation: </w:t>
      </w:r>
      <w:hyperlink r:id="rId8" w:history="1">
        <w:r w:rsidRPr="00310B0A">
          <w:rPr>
            <w:rStyle w:val="Hyperlink"/>
            <w:rFonts w:ascii="Times New Roman" w:hAnsi="Times New Roman" w:cs="Times New Roman"/>
          </w:rPr>
          <w:t>Offenders and victims of online child sexual abuse during the COVID-19 pandemic</w:t>
        </w:r>
      </w:hyperlink>
      <w:r w:rsidRPr="00310B0A">
        <w:rPr>
          <w:rFonts w:ascii="Times New Roman" w:hAnsi="Times New Roman" w:cs="Times New Roman"/>
        </w:rPr>
        <w:t>, Europol, 19.06.2020.</w:t>
      </w:r>
      <w:r>
        <w:rPr>
          <w:rFonts w:ascii="Times New Roman" w:hAnsi="Times New Roman" w:cs="Times New Roman"/>
        </w:rPr>
        <w:t xml:space="preserve"> </w:t>
      </w:r>
    </w:p>
  </w:footnote>
  <w:footnote w:id="46">
    <w:p w:rsidR="00872751" w:rsidRPr="00310B0A"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Pr="00310B0A">
        <w:rPr>
          <w:rFonts w:ascii="Times New Roman" w:hAnsi="Times New Roman" w:cs="Times New Roman"/>
        </w:rPr>
        <w:t xml:space="preserve"> </w:t>
      </w:r>
      <w:r w:rsidRPr="00310B0A">
        <w:rPr>
          <w:rFonts w:ascii="Times New Roman" w:hAnsi="Times New Roman" w:cs="Times New Roman"/>
        </w:rPr>
        <w:tab/>
        <w:t>Directive 2013/40/EU.</w:t>
      </w:r>
    </w:p>
  </w:footnote>
  <w:footnote w:id="47">
    <w:p w:rsidR="00872751" w:rsidRPr="00310B0A"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Pr="00310B0A">
        <w:rPr>
          <w:rFonts w:ascii="Times New Roman" w:hAnsi="Times New Roman" w:cs="Times New Roman"/>
        </w:rPr>
        <w:t xml:space="preserve"> </w:t>
      </w:r>
      <w:r w:rsidRPr="00310B0A">
        <w:rPr>
          <w:rFonts w:ascii="Times New Roman" w:hAnsi="Times New Roman" w:cs="Times New Roman"/>
        </w:rPr>
        <w:tab/>
        <w:t>Directive 2011/93/EU.</w:t>
      </w:r>
    </w:p>
  </w:footnote>
  <w:footnote w:id="48">
    <w:p w:rsidR="00872751" w:rsidRPr="00310B0A"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Pr="00310B0A">
        <w:rPr>
          <w:rFonts w:ascii="Times New Roman" w:hAnsi="Times New Roman" w:cs="Times New Roman"/>
        </w:rPr>
        <w:t xml:space="preserve"> </w:t>
      </w:r>
      <w:r w:rsidRPr="00310B0A">
        <w:rPr>
          <w:rFonts w:ascii="Times New Roman" w:hAnsi="Times New Roman" w:cs="Times New Roman"/>
        </w:rPr>
        <w:tab/>
        <w:t>Spain, Portugal, Italy, Netherlands, Sweden, Malta, Lithuania, Slovakia, Bulgaria, Romania, Germany, Austria, Belgium, Czechia, Estonia, Greece, Finland, France, Croatia, Hungary, Ireland, Luxembourg, Latvia, Poland, Slovenia.</w:t>
      </w:r>
    </w:p>
  </w:footnote>
  <w:footnote w:id="49">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2020) 607.</w:t>
      </w:r>
    </w:p>
  </w:footnote>
  <w:footnote w:id="5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2020) 568.</w:t>
      </w:r>
    </w:p>
  </w:footnote>
  <w:footnote w:id="51">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The Commission, together with the European Innovation Council and Member States, hosted a Pan-European </w:t>
      </w:r>
      <w:proofErr w:type="spellStart"/>
      <w:r>
        <w:rPr>
          <w:rFonts w:ascii="Times New Roman" w:hAnsi="Times New Roman" w:cs="Times New Roman"/>
        </w:rPr>
        <w:t>EUvsVirus</w:t>
      </w:r>
      <w:proofErr w:type="spellEnd"/>
      <w:r>
        <w:rPr>
          <w:rFonts w:ascii="Times New Roman" w:hAnsi="Times New Roman" w:cs="Times New Roman"/>
        </w:rPr>
        <w:t xml:space="preserve"> Hackathon + </w:t>
      </w:r>
      <w:proofErr w:type="spellStart"/>
      <w:r>
        <w:rPr>
          <w:rFonts w:ascii="Times New Roman" w:hAnsi="Times New Roman" w:cs="Times New Roman"/>
        </w:rPr>
        <w:t>Matchathon</w:t>
      </w:r>
      <w:proofErr w:type="spellEnd"/>
      <w:r>
        <w:rPr>
          <w:rFonts w:ascii="Times New Roman" w:hAnsi="Times New Roman" w:cs="Times New Roman"/>
        </w:rPr>
        <w:t xml:space="preserve"> </w:t>
      </w:r>
      <w:hyperlink r:id="rId9" w:history="1">
        <w:r>
          <w:rPr>
            <w:rStyle w:val="Hyperlink"/>
            <w:rFonts w:ascii="Times New Roman" w:hAnsi="Times New Roman" w:cs="Times New Roman"/>
          </w:rPr>
          <w:t>https://covid-eic.easme-web.eu/</w:t>
        </w:r>
      </w:hyperlink>
      <w:r>
        <w:rPr>
          <w:rFonts w:ascii="Times New Roman" w:hAnsi="Times New Roman" w:cs="Times New Roman"/>
        </w:rPr>
        <w:t>.</w:t>
      </w:r>
    </w:p>
  </w:footnote>
  <w:footnote w:id="52">
    <w:p w:rsidR="00872751" w:rsidRDefault="008477BD">
      <w:pPr>
        <w:pStyle w:val="Default"/>
        <w:ind w:left="284" w:hanging="284"/>
        <w:jc w:val="both"/>
        <w:rPr>
          <w:rFonts w:ascii="Times New Roman" w:hAnsi="Times New Roman" w:cs="Times New Roman"/>
          <w:color w:val="auto"/>
          <w:sz w:val="20"/>
          <w:szCs w:val="20"/>
        </w:rPr>
      </w:pPr>
      <w:r>
        <w:rPr>
          <w:rStyle w:val="FootnoteReference"/>
          <w:rFonts w:ascii="Times New Roman" w:hAnsi="Times New Roman" w:cs="Times New Roman"/>
          <w:color w:val="auto"/>
          <w:sz w:val="20"/>
          <w:szCs w:val="20"/>
        </w:rPr>
        <w:footnoteRef/>
      </w:r>
      <w:r>
        <w:rPr>
          <w:rStyle w:val="FootnoteReference"/>
          <w:rFonts w:ascii="Times New Roman" w:hAnsi="Times New Roman" w:cs="Times New Roman"/>
          <w:color w:val="auto"/>
          <w:sz w:val="20"/>
          <w:szCs w:val="20"/>
        </w:rPr>
        <w:t xml:space="preserve"> </w:t>
      </w:r>
      <w:r>
        <w:rPr>
          <w:rFonts w:ascii="Times New Roman" w:hAnsi="Times New Roman" w:cs="Times New Roman"/>
          <w:sz w:val="20"/>
          <w:szCs w:val="20"/>
        </w:rPr>
        <w:tab/>
      </w:r>
      <w:r>
        <w:rPr>
          <w:rFonts w:ascii="Times New Roman" w:hAnsi="Times New Roman" w:cs="Times New Roman"/>
          <w:color w:val="auto"/>
          <w:sz w:val="20"/>
          <w:szCs w:val="20"/>
        </w:rPr>
        <w:t xml:space="preserve">Joint Statement by the EU Home Affairs Ministers on the recent terrorist attacks in Europe, 13.11.2020, </w:t>
      </w:r>
    </w:p>
    <w:p w:rsidR="00872751" w:rsidRDefault="008477BD">
      <w:pPr>
        <w:pStyle w:val="Default"/>
        <w:ind w:left="284" w:hanging="284"/>
        <w:jc w:val="both"/>
        <w:rPr>
          <w:rFonts w:ascii="Times New Roman" w:hAnsi="Times New Roman" w:cs="Times New Roman"/>
          <w:sz w:val="20"/>
          <w:szCs w:val="20"/>
        </w:rPr>
      </w:pPr>
      <w:r>
        <w:rPr>
          <w:rFonts w:ascii="Times New Roman" w:hAnsi="Times New Roman" w:cs="Times New Roman"/>
          <w:color w:val="auto"/>
          <w:sz w:val="20"/>
          <w:szCs w:val="20"/>
        </w:rPr>
        <w:t xml:space="preserve"> </w:t>
      </w:r>
      <w:r>
        <w:rPr>
          <w:rFonts w:ascii="Times New Roman" w:hAnsi="Times New Roman" w:cs="Times New Roman"/>
          <w:color w:val="auto"/>
          <w:sz w:val="20"/>
          <w:szCs w:val="20"/>
        </w:rPr>
        <w:tab/>
        <w:t>12634/20.</w:t>
      </w:r>
    </w:p>
  </w:footnote>
  <w:footnote w:id="5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According to the Report, the volume of cross-border requests submitted by EU authorities to online service providers increased significantly in 2019 with a large majority of them issued by Germany (37.7% of requests), France (17.9%) and the UK (16.4%). Requests to access electronic data doubled in Poland and nearly tripled in Finland. Furthermore, emergency disclosure requests increased by nearly half in one year.</w:t>
      </w:r>
    </w:p>
  </w:footnote>
  <w:footnote w:id="54">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COM/2018/</w:t>
      </w:r>
      <w:proofErr w:type="gramStart"/>
      <w:r>
        <w:rPr>
          <w:rFonts w:ascii="Times New Roman" w:hAnsi="Times New Roman" w:cs="Times New Roman"/>
        </w:rPr>
        <w:t>226  and</w:t>
      </w:r>
      <w:proofErr w:type="gramEnd"/>
      <w:r>
        <w:rPr>
          <w:rFonts w:ascii="Times New Roman" w:hAnsi="Times New Roman" w:cs="Times New Roman"/>
        </w:rPr>
        <w:t xml:space="preserve"> COM/2018/225</w:t>
      </w:r>
    </w:p>
  </w:footnote>
  <w:footnote w:id="5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For instance, the UN General Assembly (UNGA) adopted on 27 December 2019 Resolution 74/247 on ‘Countering the use of information and communications technologies for criminal purposes’, establishing an open-ended ad hoc intergovernmental committee of experts tasked to elaborate a comprehensive international convention on cybercrime. The EU does not support the creation of a new international legal instrument on cybercrime as the Budapest Convention on Cybercrime already provides a comprehensive multilateral legal framework. In July 2020, the UN Member States agreed to postpone first steps: the EU contributed to the process on the basis of a Common position (doc.7677/2/20).</w:t>
      </w:r>
    </w:p>
  </w:footnote>
  <w:footnote w:id="5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Judgment in Joined Cases C-203/15 and C-698/15, </w:t>
      </w:r>
      <w:r>
        <w:rPr>
          <w:rFonts w:ascii="Times New Roman" w:hAnsi="Times New Roman" w:cs="Times New Roman"/>
          <w:i/>
          <w:iCs/>
        </w:rPr>
        <w:t xml:space="preserve">Tele2 Sverige AB and Watson and Others, </w:t>
      </w:r>
      <w:r>
        <w:rPr>
          <w:rFonts w:ascii="Times New Roman" w:hAnsi="Times New Roman" w:cs="Times New Roman"/>
        </w:rPr>
        <w:t>21 December 2016.</w:t>
      </w:r>
    </w:p>
  </w:footnote>
  <w:footnote w:id="57">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0" w:history="1">
        <w:r>
          <w:rPr>
            <w:rStyle w:val="Hyperlink"/>
            <w:rFonts w:ascii="Times New Roman" w:hAnsi="Times New Roman" w:cs="Times New Roman"/>
          </w:rPr>
          <w:t>https://data.europa.eu/doi10.2837/26288</w:t>
        </w:r>
      </w:hyperlink>
      <w:r>
        <w:rPr>
          <w:rFonts w:ascii="Times New Roman" w:hAnsi="Times New Roman" w:cs="Times New Roman"/>
        </w:rPr>
        <w:t xml:space="preserve"> </w:t>
      </w:r>
    </w:p>
  </w:footnote>
  <w:footnote w:id="58">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Judgments in Case C-623/17, Privacy International, and in Joined Cases C-511/18, La Quadrature du Net and Others, C-512/18, French Data Network and Others, and C-520/18, Ordre des </w:t>
      </w:r>
      <w:proofErr w:type="spellStart"/>
      <w:r>
        <w:rPr>
          <w:rFonts w:ascii="Times New Roman" w:hAnsi="Times New Roman" w:cs="Times New Roman"/>
        </w:rPr>
        <w:t>barreaux</w:t>
      </w:r>
      <w:proofErr w:type="spellEnd"/>
      <w:r>
        <w:rPr>
          <w:rFonts w:ascii="Times New Roman" w:hAnsi="Times New Roman" w:cs="Times New Roman"/>
        </w:rPr>
        <w:t xml:space="preserve"> francophones et </w:t>
      </w:r>
      <w:proofErr w:type="spellStart"/>
      <w:r>
        <w:rPr>
          <w:rFonts w:ascii="Times New Roman" w:hAnsi="Times New Roman" w:cs="Times New Roman"/>
        </w:rPr>
        <w:t>germanophone</w:t>
      </w:r>
      <w:proofErr w:type="spellEnd"/>
      <w:r>
        <w:rPr>
          <w:rFonts w:ascii="Times New Roman" w:hAnsi="Times New Roman" w:cs="Times New Roman"/>
        </w:rPr>
        <w:t xml:space="preserve"> and Others</w:t>
      </w:r>
    </w:p>
  </w:footnote>
  <w:footnote w:id="59">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ab/>
        <w:t>Including the EU data strategy (see above).</w:t>
      </w:r>
    </w:p>
  </w:footnote>
  <w:footnote w:id="60">
    <w:p w:rsidR="00872751" w:rsidRDefault="008477BD">
      <w:pPr>
        <w:pStyle w:val="Default"/>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r>
      <w:proofErr w:type="gramStart"/>
      <w:r>
        <w:rPr>
          <w:rFonts w:ascii="Times New Roman" w:hAnsi="Times New Roman" w:cs="Times New Roman"/>
          <w:color w:val="auto"/>
          <w:sz w:val="20"/>
          <w:szCs w:val="20"/>
        </w:rPr>
        <w:t>COM(</w:t>
      </w:r>
      <w:proofErr w:type="gramEnd"/>
      <w:r>
        <w:rPr>
          <w:rFonts w:ascii="Times New Roman" w:hAnsi="Times New Roman" w:cs="Times New Roman"/>
          <w:color w:val="auto"/>
          <w:sz w:val="20"/>
          <w:szCs w:val="20"/>
        </w:rPr>
        <w:t>2020) 767.</w:t>
      </w:r>
      <w:r>
        <w:rPr>
          <w:rFonts w:ascii="Times New Roman" w:hAnsi="Times New Roman" w:cs="Times New Roman"/>
          <w:sz w:val="20"/>
          <w:szCs w:val="20"/>
        </w:rPr>
        <w:t xml:space="preserve"> </w:t>
      </w:r>
    </w:p>
  </w:footnote>
  <w:footnote w:id="61">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2020) 65.</w:t>
      </w:r>
    </w:p>
  </w:footnote>
  <w:footnote w:id="62">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Respectively 90% and 87% of respondents find these concerns important or very important.</w:t>
      </w:r>
    </w:p>
  </w:footnote>
  <w:footnote w:id="6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2019)168.</w:t>
      </w:r>
    </w:p>
  </w:footnote>
  <w:footnote w:id="64">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ST 13084 2020 - Council Resolution on Encryption - Security through encryption and security despite encryption.</w:t>
      </w:r>
    </w:p>
  </w:footnote>
  <w:footnote w:id="65">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ab/>
        <w:t xml:space="preserve">This </w:t>
      </w:r>
      <w:r>
        <w:rPr>
          <w:rFonts w:ascii="Times New Roman" w:hAnsi="Times New Roman" w:cs="Times New Roman"/>
        </w:rPr>
        <w:t>€6 million project is also supported by the Joint Research Centre of the Commission.</w:t>
      </w:r>
    </w:p>
  </w:footnote>
  <w:footnote w:id="66">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ab/>
        <w:t xml:space="preserve">Communication on Digitalisation of Justice in the EU, </w:t>
      </w:r>
      <w:proofErr w:type="gramStart"/>
      <w:r>
        <w:rPr>
          <w:rFonts w:ascii="Times New Roman" w:hAnsi="Times New Roman" w:cs="Times New Roman"/>
          <w:lang w:val="en-IE"/>
        </w:rPr>
        <w:t>COM(</w:t>
      </w:r>
      <w:proofErr w:type="gramEnd"/>
      <w:r>
        <w:rPr>
          <w:rFonts w:ascii="Times New Roman" w:hAnsi="Times New Roman" w:cs="Times New Roman"/>
          <w:lang w:val="en-IE"/>
        </w:rPr>
        <w:t>2020) 710, 2 December 2020.</w:t>
      </w:r>
    </w:p>
  </w:footnote>
  <w:footnote w:id="67">
    <w:p w:rsidR="00872751" w:rsidRDefault="008477BD">
      <w:pPr>
        <w:pStyle w:val="FootnoteText"/>
        <w:ind w:left="284" w:hanging="284"/>
        <w:jc w:val="both"/>
        <w:rPr>
          <w:rFonts w:ascii="Times New Roman" w:hAnsi="Times New Roman" w:cs="Times New Roman"/>
          <w:lang w:val="et-EE"/>
        </w:rPr>
      </w:pPr>
      <w:r>
        <w:rPr>
          <w:rStyle w:val="FootnoteReference"/>
          <w:rFonts w:ascii="Times New Roman" w:hAnsi="Times New Roman" w:cs="Times New Roman"/>
        </w:rPr>
        <w:footnoteRef/>
      </w:r>
      <w:r w:rsidRPr="00310B0A">
        <w:rPr>
          <w:rFonts w:ascii="Times New Roman" w:hAnsi="Times New Roman" w:cs="Times New Roman"/>
          <w:lang w:val="pt-PT"/>
        </w:rPr>
        <w:t xml:space="preserve"> </w:t>
      </w:r>
      <w:r w:rsidRPr="00310B0A">
        <w:rPr>
          <w:rFonts w:ascii="Times New Roman" w:hAnsi="Times New Roman" w:cs="Times New Roman"/>
          <w:lang w:val="pt-PT"/>
        </w:rPr>
        <w:tab/>
      </w:r>
      <w:r w:rsidRPr="00310B0A">
        <w:rPr>
          <w:rFonts w:ascii="Times New Roman" w:hAnsi="Times New Roman" w:cs="Times New Roman"/>
          <w:lang w:val="pt-PT"/>
        </w:rPr>
        <w:t>COM(2018) 640.</w:t>
      </w:r>
    </w:p>
  </w:footnote>
  <w:footnote w:id="68">
    <w:p w:rsidR="00872751" w:rsidRDefault="008477BD">
      <w:pPr>
        <w:pStyle w:val="FootnoteText"/>
        <w:ind w:left="284" w:hanging="284"/>
        <w:jc w:val="both"/>
        <w:rPr>
          <w:rFonts w:ascii="Times New Roman" w:hAnsi="Times New Roman" w:cs="Times New Roman"/>
          <w:lang w:val="et-EE"/>
        </w:rPr>
      </w:pPr>
      <w:r>
        <w:rPr>
          <w:rStyle w:val="FootnoteReference"/>
          <w:rFonts w:ascii="Times New Roman" w:hAnsi="Times New Roman" w:cs="Times New Roman"/>
        </w:rPr>
        <w:footnoteRef/>
      </w:r>
      <w:r>
        <w:rPr>
          <w:rFonts w:ascii="Times New Roman" w:hAnsi="Times New Roman" w:cs="Times New Roman"/>
          <w:lang w:val="et-EE"/>
        </w:rPr>
        <w:t xml:space="preserve"> </w:t>
      </w:r>
      <w:r>
        <w:rPr>
          <w:rFonts w:ascii="Times New Roman" w:hAnsi="Times New Roman" w:cs="Times New Roman"/>
          <w:lang w:val="et-EE"/>
        </w:rPr>
        <w:tab/>
      </w:r>
      <w:hyperlink r:id="rId11" w:history="1">
        <w:r>
          <w:rPr>
            <w:rStyle w:val="Hyperlink"/>
            <w:rFonts w:ascii="Times New Roman" w:hAnsi="Times New Roman" w:cs="Times New Roman"/>
            <w:lang w:val="et-EE"/>
          </w:rPr>
          <w:t>https://ec.europa.eu/info/policies/justice-and-fundamental-rights/combatting-discrimination/racism-and-xenophobia/eu-code-conduct-countering-illegal-hate-speech-online_en</w:t>
        </w:r>
      </w:hyperlink>
      <w:r>
        <w:rPr>
          <w:rStyle w:val="Hyperlink"/>
          <w:rFonts w:ascii="Times New Roman" w:hAnsi="Times New Roman" w:cs="Times New Roman"/>
          <w:lang w:val="et-EE"/>
        </w:rPr>
        <w:t>.</w:t>
      </w:r>
      <w:r>
        <w:rPr>
          <w:rFonts w:ascii="Times New Roman" w:hAnsi="Times New Roman" w:cs="Times New Roman"/>
          <w:lang w:val="et-EE"/>
        </w:rPr>
        <w:t xml:space="preserve"> </w:t>
      </w:r>
    </w:p>
  </w:footnote>
  <w:footnote w:id="69">
    <w:p w:rsidR="00872751" w:rsidRDefault="008477BD">
      <w:pPr>
        <w:pStyle w:val="FootnoteText"/>
        <w:ind w:left="284" w:hanging="284"/>
        <w:rPr>
          <w:rFonts w:ascii="Times New Roman" w:hAnsi="Times New Roman" w:cs="Times New Roman"/>
        </w:rPr>
      </w:pPr>
      <w:r>
        <w:rPr>
          <w:rStyle w:val="FootnoteReference"/>
        </w:rPr>
        <w:footnoteRef/>
      </w:r>
      <w:r>
        <w:t xml:space="preserve"> </w:t>
      </w:r>
      <w:r>
        <w:tab/>
      </w:r>
      <w:r>
        <w:rPr>
          <w:rFonts w:ascii="Times New Roman" w:hAnsi="Times New Roman" w:cs="Times New Roman"/>
        </w:rPr>
        <w:t>Also set out in more detail in the LGBTIQ Equality strategy 2020-2025 (</w:t>
      </w:r>
      <w:proofErr w:type="gramStart"/>
      <w:r>
        <w:rPr>
          <w:rFonts w:ascii="Times New Roman" w:hAnsi="Times New Roman" w:cs="Times New Roman"/>
        </w:rPr>
        <w:t>COM(</w:t>
      </w:r>
      <w:proofErr w:type="gramEnd"/>
      <w:r>
        <w:rPr>
          <w:rFonts w:ascii="Times New Roman" w:hAnsi="Times New Roman" w:cs="Times New Roman"/>
        </w:rPr>
        <w:t>2020) 698).</w:t>
      </w:r>
    </w:p>
  </w:footnote>
  <w:footnote w:id="70">
    <w:p w:rsidR="00872751" w:rsidRDefault="008477BD">
      <w:pPr>
        <w:pStyle w:val="FootnoteText"/>
        <w:ind w:left="284" w:hanging="284"/>
        <w:rPr>
          <w:rFonts w:ascii="Times New Roman" w:hAnsi="Times New Roman" w:cs="Times New Roman"/>
        </w:rPr>
      </w:pPr>
      <w:r>
        <w:rPr>
          <w:rStyle w:val="FootnoteReference"/>
        </w:rPr>
        <w:footnoteRef/>
      </w:r>
      <w:r>
        <w:t xml:space="preserve"> </w:t>
      </w:r>
      <w:r>
        <w:tab/>
      </w:r>
      <w:r>
        <w:rPr>
          <w:rFonts w:ascii="Times New Roman" w:hAnsi="Times New Roman" w:cs="Times New Roman"/>
        </w:rPr>
        <w:t>Action 1 of the 2016 Joint Framework on countering hybrid threats, see JOIN/2016/018.</w:t>
      </w:r>
    </w:p>
  </w:footnote>
  <w:footnote w:id="71">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Council Conclusions 14972/19.</w:t>
      </w:r>
    </w:p>
  </w:footnote>
  <w:footnote w:id="7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SWD(</w:t>
      </w:r>
      <w:proofErr w:type="gramEnd"/>
      <w:r>
        <w:rPr>
          <w:rFonts w:ascii="Times New Roman" w:hAnsi="Times New Roman" w:cs="Times New Roman"/>
        </w:rPr>
        <w:t>2020) 152, Joint Staff Working Document, Mapping of measures related to enhancing resilience and countering hybrid threats.</w:t>
      </w:r>
    </w:p>
  </w:footnote>
  <w:footnote w:id="7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SWD(</w:t>
      </w:r>
      <w:proofErr w:type="gramEnd"/>
      <w:r>
        <w:rPr>
          <w:rFonts w:ascii="Times New Roman" w:hAnsi="Times New Roman" w:cs="Times New Roman"/>
        </w:rPr>
        <w:t xml:space="preserve">2020) 153, Joint Staff working document, Report on the implementation of the 2016 Joint Framework on countering hybrid threats and the 2018 Joint Communication on increasing resilience and bolstering capabilities to address hybrid threats. </w:t>
      </w:r>
    </w:p>
  </w:footnote>
  <w:footnote w:id="74">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For example, in 26 November 2020, the Joint Research Centre proposed a new framework to raise awareness of threats: https://ec.europa.eu/jrc/en/news/jrc-framework-against-hybrid-threats</w:t>
      </w:r>
    </w:p>
  </w:footnote>
  <w:footnote w:id="7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rPr>
        <w:tab/>
      </w:r>
      <w:r>
        <w:rPr>
          <w:rFonts w:ascii="Times New Roman" w:hAnsi="Times New Roman" w:cs="Times New Roman"/>
        </w:rPr>
        <w:t>The Hybrid Trends Analysis is a tool to be used alongside national systems to monitor the scale and intensity of hybrid threats in the political/diplomatic, military, economic, information, intelligence, cyber, social, energy and infrastructure domains.</w:t>
      </w:r>
    </w:p>
  </w:footnote>
  <w:footnote w:id="7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Cooperation between staffs in the field of cyber security and defence has further intensified through work on consistent concepts and doctrines, exercises, exchanges of information and cross-briefings.</w:t>
      </w:r>
    </w:p>
  </w:footnote>
  <w:footnote w:id="77">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Real-world consequences included the arson of telecommunications infrastructure and misleading health information with direct consequences.</w:t>
      </w:r>
    </w:p>
  </w:footnote>
  <w:footnote w:id="78">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ab/>
      </w:r>
      <w:proofErr w:type="gramStart"/>
      <w:r>
        <w:rPr>
          <w:rFonts w:ascii="Times New Roman" w:hAnsi="Times New Roman" w:cs="Times New Roman"/>
          <w:lang w:val="en-IE"/>
        </w:rPr>
        <w:t>JOIN(</w:t>
      </w:r>
      <w:proofErr w:type="gramEnd"/>
      <w:r>
        <w:rPr>
          <w:rFonts w:ascii="Times New Roman" w:hAnsi="Times New Roman" w:cs="Times New Roman"/>
          <w:lang w:val="en-IE"/>
        </w:rPr>
        <w:t>2020) 8, Joint Communication,</w:t>
      </w:r>
      <w:r>
        <w:rPr>
          <w:rFonts w:ascii="Times New Roman" w:hAnsi="Times New Roman" w:cs="Times New Roman"/>
        </w:rPr>
        <w:t xml:space="preserve"> </w:t>
      </w:r>
      <w:r>
        <w:rPr>
          <w:rFonts w:ascii="Times New Roman" w:hAnsi="Times New Roman" w:cs="Times New Roman"/>
          <w:lang w:val="en-IE"/>
        </w:rPr>
        <w:t xml:space="preserve">Tackling COVID-19 disinformation - Getting the facts right. </w:t>
      </w:r>
    </w:p>
  </w:footnote>
  <w:footnote w:id="79">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For example, the ‘Think before you share’ campaign was launched to provide advice how to limit the spread of disinformation to young audiences and multipliers in the EU’s Eastern Partnership countries, reaching over 500.000 views on social media platforms.</w:t>
      </w:r>
    </w:p>
  </w:footnote>
  <w:footnote w:id="80">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 (2020) 790</w:t>
      </w:r>
      <w:r>
        <w:rPr>
          <w:rFonts w:ascii="Times New Roman" w:hAnsi="Times New Roman" w:cs="Times New Roman"/>
          <w:color w:val="1F497D"/>
        </w:rPr>
        <w:t>.</w:t>
      </w:r>
    </w:p>
  </w:footnote>
  <w:footnote w:id="81">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JOIN(</w:t>
      </w:r>
      <w:proofErr w:type="gramEnd"/>
      <w:r>
        <w:rPr>
          <w:rFonts w:ascii="Times New Roman" w:hAnsi="Times New Roman" w:cs="Times New Roman"/>
        </w:rPr>
        <w:t>2018) 36 Joint Communication, Action Plan against Disinformation.</w:t>
      </w:r>
    </w:p>
  </w:footnote>
  <w:footnote w:id="8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SWD(</w:t>
      </w:r>
      <w:proofErr w:type="gramEnd"/>
      <w:r>
        <w:rPr>
          <w:rFonts w:ascii="Times New Roman" w:hAnsi="Times New Roman" w:cs="Times New Roman"/>
        </w:rPr>
        <w:t xml:space="preserve">2020) 180. </w:t>
      </w:r>
    </w:p>
  </w:footnote>
  <w:footnote w:id="83">
    <w:p w:rsidR="00872751" w:rsidRDefault="008477BD">
      <w:pPr>
        <w:pStyle w:val="Default"/>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Style w:val="FootnoteReference"/>
          <w:rFonts w:ascii="Times New Roman" w:hAnsi="Times New Roman" w:cs="Times New Roman"/>
          <w:sz w:val="20"/>
          <w:szCs w:val="20"/>
        </w:rPr>
        <w:t xml:space="preserve"> </w:t>
      </w:r>
      <w:r>
        <w:rPr>
          <w:rStyle w:val="FootnoteReference"/>
          <w:rFonts w:ascii="Times New Roman" w:hAnsi="Times New Roman" w:cs="Times New Roman"/>
          <w:sz w:val="20"/>
          <w:szCs w:val="20"/>
        </w:rPr>
        <w:tab/>
      </w:r>
      <w:r>
        <w:rPr>
          <w:rFonts w:ascii="Times New Roman" w:hAnsi="Times New Roman" w:cs="Times New Roman"/>
          <w:color w:val="auto"/>
          <w:sz w:val="20"/>
          <w:szCs w:val="20"/>
        </w:rPr>
        <w:t xml:space="preserve">Joint Statement by the EU Home Affairs Ministers on the recent terrorist attacks in Europe, 13.11.2020, </w:t>
      </w:r>
    </w:p>
    <w:p w:rsidR="00872751" w:rsidRPr="00310B0A" w:rsidRDefault="008477BD">
      <w:pPr>
        <w:pStyle w:val="FootnoteText"/>
        <w:ind w:left="284" w:hanging="284"/>
        <w:jc w:val="both"/>
        <w:rPr>
          <w:rFonts w:ascii="Times New Roman" w:hAnsi="Times New Roman" w:cs="Times New Roman"/>
          <w:lang w:val="pt-PT"/>
        </w:rPr>
      </w:pPr>
      <w:r>
        <w:rPr>
          <w:rFonts w:ascii="Times New Roman" w:hAnsi="Times New Roman" w:cs="Times New Roman"/>
        </w:rPr>
        <w:t xml:space="preserve"> </w:t>
      </w:r>
      <w:r>
        <w:rPr>
          <w:rFonts w:ascii="Times New Roman" w:hAnsi="Times New Roman" w:cs="Times New Roman"/>
        </w:rPr>
        <w:tab/>
      </w:r>
      <w:r w:rsidRPr="00310B0A">
        <w:rPr>
          <w:rFonts w:ascii="Times New Roman" w:hAnsi="Times New Roman" w:cs="Times New Roman"/>
          <w:lang w:val="pt-PT"/>
        </w:rPr>
        <w:t>12634/20.</w:t>
      </w:r>
    </w:p>
  </w:footnote>
  <w:footnote w:id="84">
    <w:p w:rsidR="00872751" w:rsidRPr="00310B0A" w:rsidRDefault="008477BD">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sidRPr="00310B0A">
        <w:rPr>
          <w:rFonts w:ascii="Times New Roman" w:hAnsi="Times New Roman" w:cs="Times New Roman"/>
          <w:lang w:val="pt-PT"/>
        </w:rPr>
        <w:t xml:space="preserve"> </w:t>
      </w:r>
      <w:r w:rsidRPr="00310B0A">
        <w:rPr>
          <w:rFonts w:ascii="Times New Roman" w:hAnsi="Times New Roman" w:cs="Times New Roman"/>
          <w:lang w:val="pt-PT"/>
        </w:rPr>
        <w:tab/>
      </w:r>
      <w:r w:rsidRPr="00310B0A">
        <w:rPr>
          <w:rFonts w:ascii="Times New Roman" w:hAnsi="Times New Roman" w:cs="Times New Roman"/>
          <w:lang w:val="pt-PT"/>
        </w:rPr>
        <w:t xml:space="preserve">COM </w:t>
      </w:r>
      <w:r w:rsidRPr="00310B0A">
        <w:rPr>
          <w:rFonts w:ascii="Times New Roman" w:hAnsi="Times New Roman" w:cs="Times New Roman"/>
          <w:lang w:val="pt-PT"/>
        </w:rPr>
        <w:t xml:space="preserve">(2020) 795. </w:t>
      </w:r>
    </w:p>
  </w:footnote>
  <w:footnote w:id="85">
    <w:p w:rsidR="00872751" w:rsidRPr="00310B0A" w:rsidRDefault="008477BD">
      <w:pPr>
        <w:pStyle w:val="Default"/>
        <w:ind w:left="284" w:hanging="284"/>
        <w:jc w:val="both"/>
        <w:rPr>
          <w:rFonts w:ascii="Times New Roman" w:hAnsi="Times New Roman" w:cs="Times New Roman"/>
          <w:sz w:val="20"/>
          <w:szCs w:val="20"/>
          <w:lang w:val="pt-PT"/>
        </w:rPr>
      </w:pPr>
      <w:r>
        <w:rPr>
          <w:rStyle w:val="FootnoteReference"/>
          <w:rFonts w:ascii="Times New Roman" w:hAnsi="Times New Roman" w:cs="Times New Roman"/>
          <w:sz w:val="20"/>
          <w:szCs w:val="20"/>
        </w:rPr>
        <w:footnoteRef/>
      </w:r>
      <w:r w:rsidRPr="00310B0A">
        <w:rPr>
          <w:rFonts w:ascii="Times New Roman" w:hAnsi="Times New Roman" w:cs="Times New Roman"/>
          <w:sz w:val="20"/>
          <w:szCs w:val="20"/>
          <w:lang w:val="pt-PT"/>
        </w:rPr>
        <w:t xml:space="preserve"> </w:t>
      </w:r>
      <w:r w:rsidRPr="00310B0A">
        <w:rPr>
          <w:rFonts w:ascii="Times New Roman" w:hAnsi="Times New Roman" w:cs="Times New Roman"/>
          <w:sz w:val="20"/>
          <w:szCs w:val="20"/>
          <w:lang w:val="pt-PT"/>
        </w:rPr>
        <w:tab/>
      </w:r>
      <w:r w:rsidRPr="00310B0A">
        <w:rPr>
          <w:rFonts w:ascii="Times New Roman" w:hAnsi="Times New Roman" w:cs="Times New Roman"/>
          <w:color w:val="auto"/>
          <w:sz w:val="20"/>
          <w:szCs w:val="20"/>
          <w:lang w:val="pt-PT"/>
        </w:rPr>
        <w:t xml:space="preserve">COM(2020) </w:t>
      </w:r>
      <w:r w:rsidRPr="00310B0A">
        <w:rPr>
          <w:rFonts w:ascii="Times New Roman" w:hAnsi="Times New Roman" w:cs="Times New Roman"/>
          <w:color w:val="auto"/>
          <w:sz w:val="20"/>
          <w:szCs w:val="20"/>
          <w:lang w:val="pt-PT"/>
        </w:rPr>
        <w:t xml:space="preserve">758. </w:t>
      </w:r>
      <w:r w:rsidRPr="00310B0A">
        <w:rPr>
          <w:rFonts w:ascii="Times New Roman" w:hAnsi="Times New Roman" w:cs="Times New Roman"/>
          <w:sz w:val="20"/>
          <w:szCs w:val="20"/>
          <w:lang w:val="pt-PT"/>
        </w:rPr>
        <w:t xml:space="preserve"> </w:t>
      </w:r>
    </w:p>
  </w:footnote>
  <w:footnote w:id="86">
    <w:p w:rsidR="00872751" w:rsidRPr="00310B0A" w:rsidRDefault="008477BD">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sidRPr="00310B0A">
        <w:rPr>
          <w:rStyle w:val="FootnoteReference"/>
          <w:rFonts w:ascii="Times New Roman" w:hAnsi="Times New Roman" w:cs="Times New Roman"/>
          <w:lang w:val="pt-PT"/>
        </w:rPr>
        <w:t xml:space="preserve"> </w:t>
      </w:r>
      <w:r w:rsidRPr="00310B0A">
        <w:rPr>
          <w:rFonts w:ascii="Times New Roman" w:hAnsi="Times New Roman" w:cs="Times New Roman"/>
          <w:lang w:val="pt-PT"/>
        </w:rPr>
        <w:tab/>
      </w:r>
      <w:r w:rsidRPr="00310B0A">
        <w:rPr>
          <w:rFonts w:ascii="Times New Roman" w:hAnsi="Times New Roman" w:cs="Times New Roman"/>
          <w:lang w:val="pt-PT"/>
        </w:rPr>
        <w:t xml:space="preserve">Directive </w:t>
      </w:r>
      <w:r w:rsidRPr="00310B0A">
        <w:rPr>
          <w:rFonts w:ascii="Times New Roman" w:hAnsi="Times New Roman" w:cs="Times New Roman"/>
          <w:lang w:val="pt-PT"/>
        </w:rPr>
        <w:t>(EU) 2017/541.</w:t>
      </w:r>
    </w:p>
  </w:footnote>
  <w:footnote w:id="87">
    <w:p w:rsidR="00872751" w:rsidRPr="00310B0A" w:rsidRDefault="008477BD">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sidRPr="00310B0A">
        <w:rPr>
          <w:rStyle w:val="FootnoteReference"/>
          <w:rFonts w:ascii="Times New Roman" w:hAnsi="Times New Roman" w:cs="Times New Roman"/>
          <w:lang w:val="pt-PT"/>
        </w:rPr>
        <w:t xml:space="preserve"> </w:t>
      </w:r>
      <w:r w:rsidRPr="00310B0A">
        <w:rPr>
          <w:rFonts w:ascii="Times New Roman" w:hAnsi="Times New Roman" w:cs="Times New Roman"/>
          <w:lang w:val="pt-PT"/>
        </w:rPr>
        <w:tab/>
      </w:r>
      <w:r w:rsidRPr="00310B0A">
        <w:rPr>
          <w:rFonts w:ascii="Times New Roman" w:hAnsi="Times New Roman" w:cs="Times New Roman"/>
          <w:lang w:val="pt-PT"/>
        </w:rPr>
        <w:t xml:space="preserve">COM </w:t>
      </w:r>
      <w:r w:rsidRPr="00310B0A">
        <w:rPr>
          <w:rFonts w:ascii="Times New Roman" w:hAnsi="Times New Roman" w:cs="Times New Roman"/>
          <w:lang w:val="pt-PT"/>
        </w:rPr>
        <w:t>(2020) 619.</w:t>
      </w:r>
    </w:p>
  </w:footnote>
  <w:footnote w:id="88">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Regulation (EU) 2019/1148.</w:t>
      </w:r>
    </w:p>
  </w:footnote>
  <w:footnote w:id="89">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Commission Notice - Guidelines for the implementation of Regulation (EU) 2019/1148 on the marketing and use of explosives precursors, OJ C 210/1, 24.6.2020.</w:t>
      </w:r>
    </w:p>
  </w:footnote>
  <w:footnote w:id="9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SWD(</w:t>
      </w:r>
      <w:proofErr w:type="gramEnd"/>
      <w:r>
        <w:rPr>
          <w:rFonts w:ascii="Times New Roman" w:hAnsi="Times New Roman" w:cs="Times New Roman"/>
        </w:rPr>
        <w:t>2020) 114 final.</w:t>
      </w:r>
    </w:p>
  </w:footnote>
  <w:footnote w:id="91">
    <w:p w:rsidR="00872751" w:rsidRPr="00310B0A"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2017) 610 final.</w:t>
      </w:r>
    </w:p>
  </w:footnote>
  <w:footnote w:id="9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 xml:space="preserve">  Council Decision (CFSP) 2020/1466 of 12 October 2020 amending Decision (CFSP) 2018/1544.</w:t>
      </w:r>
    </w:p>
  </w:footnote>
  <w:footnote w:id="9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US"/>
        </w:rPr>
        <w:t>Council Decision (CFSP) 2020/1482 of 14 October 2020 and Council Implementing Regulation (EU) 2020/1480</w:t>
      </w:r>
      <w:r>
        <w:rPr>
          <w:rFonts w:ascii="Times New Roman" w:hAnsi="Times New Roman" w:cs="Times New Roman"/>
        </w:rPr>
        <w:t>.</w:t>
      </w:r>
    </w:p>
  </w:footnote>
  <w:footnote w:id="94">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ab/>
        <w:t xml:space="preserve">As set out by the EU </w:t>
      </w:r>
      <w:proofErr w:type="spellStart"/>
      <w:r>
        <w:rPr>
          <w:rFonts w:ascii="Times New Roman" w:hAnsi="Times New Roman" w:cs="Times New Roman"/>
          <w:lang w:val="en-IE"/>
        </w:rPr>
        <w:t>i</w:t>
      </w:r>
      <w:proofErr w:type="spellEnd"/>
      <w:r>
        <w:rPr>
          <w:rFonts w:ascii="Times New Roman" w:hAnsi="Times New Roman" w:cs="Times New Roman"/>
        </w:rPr>
        <w:t xml:space="preserve">n November 2019 at the </w:t>
      </w:r>
      <w:r>
        <w:rPr>
          <w:rFonts w:ascii="Times New Roman" w:hAnsi="Times New Roman" w:cs="Times New Roman"/>
          <w:i/>
          <w:iCs/>
        </w:rPr>
        <w:t xml:space="preserve">No Money </w:t>
      </w:r>
      <w:proofErr w:type="gramStart"/>
      <w:r>
        <w:rPr>
          <w:rFonts w:ascii="Times New Roman" w:hAnsi="Times New Roman" w:cs="Times New Roman"/>
          <w:i/>
          <w:iCs/>
        </w:rPr>
        <w:t>For</w:t>
      </w:r>
      <w:proofErr w:type="gramEnd"/>
      <w:r>
        <w:rPr>
          <w:rFonts w:ascii="Times New Roman" w:hAnsi="Times New Roman" w:cs="Times New Roman"/>
          <w:i/>
          <w:iCs/>
        </w:rPr>
        <w:t xml:space="preserve"> Terror </w:t>
      </w:r>
      <w:r>
        <w:rPr>
          <w:rFonts w:ascii="Times New Roman" w:hAnsi="Times New Roman" w:cs="Times New Roman"/>
        </w:rPr>
        <w:t>Ministerial Conference on Counter-Terrorism Financing hosted by Australia.</w:t>
      </w:r>
    </w:p>
  </w:footnote>
  <w:footnote w:id="9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US"/>
        </w:rPr>
        <w:t xml:space="preserve">The integrated EU aviation security risk assessment process supports the </w:t>
      </w:r>
      <w:proofErr w:type="gramStart"/>
      <w:r>
        <w:rPr>
          <w:rFonts w:ascii="Times New Roman" w:hAnsi="Times New Roman" w:cs="Times New Roman"/>
          <w:lang w:val="en-US"/>
        </w:rPr>
        <w:t>decision making</w:t>
      </w:r>
      <w:proofErr w:type="gramEnd"/>
      <w:r>
        <w:rPr>
          <w:rFonts w:ascii="Times New Roman" w:hAnsi="Times New Roman" w:cs="Times New Roman"/>
          <w:lang w:val="en-US"/>
        </w:rPr>
        <w:t xml:space="preserve"> process in the area of air cargo security, aviation security standards and risks arising to civil aviation from conflict zones</w:t>
      </w:r>
      <w:r>
        <w:rPr>
          <w:rFonts w:ascii="Times New Roman" w:hAnsi="Times New Roman" w:cs="Times New Roman"/>
        </w:rPr>
        <w:t>.</w:t>
      </w:r>
    </w:p>
  </w:footnote>
  <w:footnote w:id="9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 xml:space="preserve">The tragic downing of the Ukraine International Airlines Flight 752 on 8 January 2020 further </w:t>
      </w:r>
      <w:proofErr w:type="gramStart"/>
      <w:r>
        <w:rPr>
          <w:rFonts w:ascii="Times New Roman" w:hAnsi="Times New Roman" w:cs="Times New Roman"/>
        </w:rPr>
        <w:t>demonstrated  the</w:t>
      </w:r>
      <w:proofErr w:type="gramEnd"/>
      <w:r>
        <w:rPr>
          <w:rFonts w:ascii="Times New Roman" w:hAnsi="Times New Roman" w:cs="Times New Roman"/>
        </w:rPr>
        <w:t xml:space="preserve"> importance of information sharing and risks assessment for the security of civil aviation</w:t>
      </w:r>
    </w:p>
  </w:footnote>
  <w:footnote w:id="97">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https://eur-lex.europa.eu/legal-content/EN/TXT/PDF/?uri=CELEX:32019R1583.</w:t>
      </w:r>
    </w:p>
  </w:footnote>
  <w:footnote w:id="98">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US"/>
        </w:rPr>
        <w:t>COM 2018 (470) final.</w:t>
      </w:r>
    </w:p>
  </w:footnote>
  <w:footnote w:id="99">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lang w:val="en-US"/>
        </w:rPr>
        <w:t xml:space="preserve">Report by Commission services, the European External Action Service and the European </w:t>
      </w:r>
      <w:proofErr w:type="spellStart"/>
      <w:r>
        <w:rPr>
          <w:rFonts w:ascii="Times New Roman" w:hAnsi="Times New Roman" w:cs="Times New Roman"/>
          <w:lang w:val="en-US"/>
        </w:rPr>
        <w:t>Defen</w:t>
      </w:r>
      <w:r>
        <w:rPr>
          <w:rFonts w:ascii="Times New Roman" w:hAnsi="Times New Roman" w:cs="Times New Roman"/>
        </w:rPr>
        <w:t>ce</w:t>
      </w:r>
      <w:proofErr w:type="spellEnd"/>
      <w:r>
        <w:rPr>
          <w:rFonts w:ascii="Times New Roman" w:hAnsi="Times New Roman" w:cs="Times New Roman"/>
          <w:lang w:val="en-US"/>
        </w:rPr>
        <w:t xml:space="preserve"> Agency on the implementation of the revised EU Maritime Security Strategy Action Plan” </w:t>
      </w:r>
      <w:proofErr w:type="gramStart"/>
      <w:r>
        <w:rPr>
          <w:rFonts w:ascii="Times New Roman" w:hAnsi="Times New Roman" w:cs="Times New Roman"/>
          <w:lang w:val="en-US"/>
        </w:rPr>
        <w:t>SWD(</w:t>
      </w:r>
      <w:proofErr w:type="gramEnd"/>
      <w:r>
        <w:rPr>
          <w:rFonts w:ascii="Times New Roman" w:hAnsi="Times New Roman" w:cs="Times New Roman"/>
          <w:lang w:val="en-US"/>
        </w:rPr>
        <w:t>2020) 252.</w:t>
      </w:r>
    </w:p>
  </w:footnote>
  <w:footnote w:id="10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2019 Consolidated annual activity report, Europol, 9.06.2020.</w:t>
      </w:r>
    </w:p>
  </w:footnote>
  <w:footnote w:id="101">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The CTR is managed by Eurojust on a 24-hour basis and provides proactive support to national judicial authorities. This centralised information should help prosecutors to coordinate more actively and to identify suspects or networks being investigated in specific cases with potential cross-border implications.</w:t>
      </w:r>
    </w:p>
  </w:footnote>
  <w:footnote w:id="10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 xml:space="preserve">Council Decisions (CFSP) </w:t>
      </w:r>
      <w:r>
        <w:rPr>
          <w:rFonts w:ascii="Times New Roman" w:eastAsia="Calibri" w:hAnsi="Times New Roman" w:cs="Times New Roman"/>
          <w:lang w:eastAsia="en-IE"/>
        </w:rPr>
        <w:t xml:space="preserve">2020/1132, </w:t>
      </w:r>
      <w:r>
        <w:rPr>
          <w:rFonts w:ascii="Times New Roman" w:hAnsi="Times New Roman" w:cs="Times New Roman"/>
        </w:rPr>
        <w:t>2020/1126 and 2020/1516.</w:t>
      </w:r>
    </w:p>
  </w:footnote>
  <w:footnote w:id="10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 xml:space="preserve">https://www.eurojust.europa.eu/eurojust-memorandum-battlefield-evidence-0. </w:t>
      </w:r>
    </w:p>
  </w:footnote>
  <w:footnote w:id="104">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lang w:eastAsia="en-IE"/>
        </w:rPr>
        <w:t>Council Conclusions (8868/</w:t>
      </w:r>
      <w:proofErr w:type="gramStart"/>
      <w:r>
        <w:rPr>
          <w:rFonts w:ascii="Times New Roman" w:eastAsia="Calibri" w:hAnsi="Times New Roman" w:cs="Times New Roman"/>
          <w:lang w:eastAsia="en-IE"/>
        </w:rPr>
        <w:t>20)on</w:t>
      </w:r>
      <w:proofErr w:type="gramEnd"/>
      <w:r>
        <w:rPr>
          <w:rFonts w:ascii="Times New Roman" w:eastAsia="Calibri" w:hAnsi="Times New Roman" w:cs="Times New Roman"/>
          <w:lang w:eastAsia="en-IE"/>
        </w:rPr>
        <w:t xml:space="preserve"> EU External Action on Preventing and Countering Terrorism and Violent Extremism (16 June 2020).</w:t>
      </w:r>
    </w:p>
  </w:footnote>
  <w:footnote w:id="10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eastAsia="Calibri" w:hAnsi="Times New Roman" w:cs="Times New Roman"/>
          <w:lang w:eastAsia="en-IE"/>
        </w:rPr>
        <w:t>Algeria, Bosnia-Herzegovina (regional for Western Balkans), Chad (regional for the Sahel), Ethiopia (liaison to the African Union), Indonesia (regional for Southeast Asia and liaison to ASEAN-ARF), Iraq, Jordan, Kenya (regional for the Horn of Africa), Kyrgyzstan (regional for Central Asia), Lebanon, Libya, Morocco, Nigeria, Pakistan, Saudi Arabia, Tunisia and Turkey.</w:t>
      </w:r>
    </w:p>
  </w:footnote>
  <w:footnote w:id="106">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rPr>
        <w:tab/>
      </w:r>
      <w:r>
        <w:rPr>
          <w:rFonts w:ascii="Times New Roman" w:eastAsia="Calibri" w:hAnsi="Times New Roman" w:cs="Times New Roman"/>
          <w:lang w:eastAsia="en-IE"/>
        </w:rPr>
        <w:t>Serbia, North Macedonia, Bosnia and Herzegovina, Kosovo*, Albania, and Montenegro.</w:t>
      </w:r>
    </w:p>
  </w:footnote>
  <w:footnote w:id="107">
    <w:p w:rsidR="00872751" w:rsidRDefault="008477BD">
      <w:pPr>
        <w:pStyle w:val="FootnoteText"/>
        <w:ind w:left="284" w:hanging="284"/>
        <w:jc w:val="both"/>
        <w:rPr>
          <w:rFonts w:ascii="Times New Roman" w:eastAsia="Calibri" w:hAnsi="Times New Roman" w:cs="Times New Roman"/>
          <w:lang w:eastAsia="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r>
        <w:rPr>
          <w:rFonts w:ascii="Times New Roman" w:eastAsia="Calibri" w:hAnsi="Times New Roman" w:cs="Times New Roman"/>
          <w:lang w:eastAsia="en-IE"/>
        </w:rPr>
        <w:t xml:space="preserve">Joint Press Statement: </w:t>
      </w:r>
      <w:hyperlink r:id="rId12" w:history="1">
        <w:r>
          <w:rPr>
            <w:rFonts w:ascii="Times New Roman" w:eastAsia="Calibri" w:hAnsi="Times New Roman" w:cs="Times New Roman"/>
            <w:lang w:eastAsia="en-IE"/>
          </w:rPr>
          <w:t>https://www.consilium.europa.eu/en/press/press-releases/2020/10/23/joint-press-</w:t>
        </w:r>
      </w:hyperlink>
      <w:r>
        <w:rPr>
          <w:rFonts w:ascii="Times New Roman" w:eastAsia="Calibri" w:hAnsi="Times New Roman" w:cs="Times New Roman"/>
          <w:lang w:eastAsia="en-IE"/>
        </w:rPr>
        <w:t>statement-eu-western-balkans-ministerial-forum-on-justice-and-home-affairs/pdf.</w:t>
      </w:r>
    </w:p>
  </w:footnote>
  <w:footnote w:id="108">
    <w:p w:rsidR="00872751" w:rsidRDefault="008477BD">
      <w:pPr>
        <w:spacing w:after="0" w:line="240" w:lineRule="auto"/>
        <w:ind w:left="284" w:hanging="284"/>
        <w:jc w:val="both"/>
        <w:rPr>
          <w:rFonts w:ascii="Times New Roman" w:eastAsia="Calibri" w:hAnsi="Times New Roman" w:cs="Times New Roman"/>
          <w:sz w:val="20"/>
          <w:szCs w:val="20"/>
          <w:lang w:eastAsia="en-IE"/>
        </w:rPr>
      </w:pPr>
      <w:r>
        <w:rPr>
          <w:rStyle w:val="FootnoteReference"/>
          <w:rFonts w:ascii="Times New Roman" w:hAnsi="Times New Roman" w:cs="Times New Roman"/>
          <w:sz w:val="20"/>
          <w:szCs w:val="20"/>
        </w:rPr>
        <w:footnoteRef/>
      </w:r>
      <w:r>
        <w:rPr>
          <w:rStyle w:val="FootnoteReference"/>
          <w:rFonts w:ascii="Times New Roman" w:hAnsi="Times New Roman" w:cs="Times New Roman"/>
          <w:sz w:val="20"/>
          <w:szCs w:val="20"/>
        </w:rPr>
        <w:t xml:space="preserve"> </w:t>
      </w:r>
      <w:r>
        <w:rPr>
          <w:rStyle w:val="FootnoteReference"/>
          <w:rFonts w:ascii="Times New Roman" w:hAnsi="Times New Roman" w:cs="Times New Roman"/>
          <w:sz w:val="20"/>
          <w:szCs w:val="20"/>
        </w:rPr>
        <w:tab/>
      </w:r>
      <w:r>
        <w:rPr>
          <w:rFonts w:ascii="Times New Roman" w:hAnsi="Times New Roman" w:cs="Times New Roman"/>
          <w:sz w:val="20"/>
          <w:szCs w:val="20"/>
        </w:rPr>
        <w:t xml:space="preserve">Counter-terrorism action was for example highlighted in </w:t>
      </w:r>
      <w:r>
        <w:rPr>
          <w:rFonts w:ascii="Times New Roman" w:eastAsia="Calibri" w:hAnsi="Times New Roman" w:cs="Times New Roman"/>
          <w:sz w:val="20"/>
          <w:szCs w:val="20"/>
          <w:lang w:eastAsia="en-IE"/>
        </w:rPr>
        <w:t>the new EU strategy on Central Asia.</w:t>
      </w:r>
    </w:p>
    <w:p w:rsidR="00872751" w:rsidRDefault="008477BD">
      <w:pPr>
        <w:spacing w:after="0" w:line="240" w:lineRule="auto"/>
        <w:ind w:left="284" w:hanging="284"/>
        <w:jc w:val="both"/>
        <w:rPr>
          <w:rFonts w:ascii="Times New Roman" w:eastAsia="Calibri" w:hAnsi="Times New Roman" w:cs="Times New Roman"/>
          <w:sz w:val="20"/>
          <w:szCs w:val="20"/>
          <w:lang w:eastAsia="en-IE"/>
        </w:rPr>
      </w:pPr>
      <w:r>
        <w:rPr>
          <w:rFonts w:ascii="Times New Roman" w:eastAsia="Calibri" w:hAnsi="Times New Roman" w:cs="Times New Roman"/>
          <w:lang w:eastAsia="en-IE"/>
        </w:rPr>
        <w:t xml:space="preserve">     *</w:t>
      </w:r>
      <w:r>
        <w:rPr>
          <w:rFonts w:ascii="Times New Roman" w:eastAsia="Calibri" w:hAnsi="Times New Roman" w:cs="Times New Roman"/>
          <w:sz w:val="20"/>
          <w:szCs w:val="20"/>
          <w:lang w:val="en-GB" w:eastAsia="en-IE"/>
        </w:rPr>
        <w:t>This designation is without prejudice to positions on status, and is in line with UNSCR 1244(1999) and   the ICJ Opinion on the Kosovo declaration of independence.</w:t>
      </w:r>
    </w:p>
  </w:footnote>
  <w:footnote w:id="109">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In 2019 a Framewo</w:t>
      </w:r>
      <w:r>
        <w:rPr>
          <w:rFonts w:ascii="Times New Roman" w:eastAsia="Calibri" w:hAnsi="Times New Roman" w:cs="Times New Roman"/>
          <w:lang w:eastAsia="en-IE"/>
        </w:rPr>
        <w:t xml:space="preserve">rk for cooperation between de EU and the UN was signed on counter terrorism </w:t>
      </w:r>
      <w:r>
        <w:rPr>
          <w:rFonts w:ascii="Times New Roman" w:hAnsi="Times New Roman" w:cs="Times New Roman"/>
        </w:rPr>
        <w:t xml:space="preserve">was signed </w:t>
      </w:r>
      <w:hyperlink r:id="rId13" w:history="1">
        <w:r>
          <w:rPr>
            <w:rStyle w:val="Hyperlink"/>
            <w:rFonts w:ascii="Times New Roman" w:hAnsi="Times New Roman" w:cs="Times New Roman"/>
          </w:rPr>
          <w:t>https://eeas.europa.eu/sites/eeas/files/2019042019_un-eu_framework_on_counter-terrorism.pdf</w:t>
        </w:r>
      </w:hyperlink>
      <w:r>
        <w:rPr>
          <w:rStyle w:val="Hyperlink"/>
          <w:rFonts w:ascii="Times New Roman" w:hAnsi="Times New Roman" w:cs="Times New Roman"/>
        </w:rPr>
        <w:t>.</w:t>
      </w:r>
      <w:r>
        <w:rPr>
          <w:rFonts w:ascii="Times New Roman" w:hAnsi="Times New Roman" w:cs="Times New Roman"/>
        </w:rPr>
        <w:t xml:space="preserve"> </w:t>
      </w:r>
    </w:p>
  </w:footnote>
  <w:footnote w:id="11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A high-level EU-UNODC dialogue took place on 8 December 2020.</w:t>
      </w:r>
    </w:p>
  </w:footnote>
  <w:footnote w:id="111">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At the end of 2019, some €830 million was devoted to ongoing actions on organised crime outside the EU.</w:t>
      </w:r>
    </w:p>
  </w:footnote>
  <w:footnote w:id="11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2019 Consolidated Annual Report, Europol, June 2020.</w:t>
      </w:r>
    </w:p>
  </w:footnote>
  <w:footnote w:id="11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Framework Decision 2008/841.</w:t>
      </w:r>
    </w:p>
  </w:footnote>
  <w:footnote w:id="114">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 xml:space="preserve"> Council conclusions 8927/20.</w:t>
      </w:r>
    </w:p>
  </w:footnote>
  <w:footnote w:id="11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Directive 2014/42/EU.</w:t>
      </w:r>
    </w:p>
  </w:footnote>
  <w:footnote w:id="11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Council Decision 2007/845/JHA.</w:t>
      </w:r>
    </w:p>
  </w:footnote>
  <w:footnote w:id="117">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4" w:history="1">
        <w:r>
          <w:rPr>
            <w:rFonts w:ascii="Times New Roman" w:hAnsi="Times New Roman" w:cs="Times New Roman"/>
          </w:rPr>
          <w:t>Directive (EU) 2016/680</w:t>
        </w:r>
      </w:hyperlink>
      <w:r>
        <w:rPr>
          <w:rFonts w:ascii="Times New Roman" w:hAnsi="Times New Roman" w:cs="Times New Roman"/>
        </w:rPr>
        <w:t xml:space="preserve"> on the protection of natural persons regarding processing of personal data connected with criminal offences.</w:t>
      </w:r>
    </w:p>
  </w:footnote>
  <w:footnote w:id="118">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Three Member States (Germany, Slovenia, </w:t>
      </w:r>
      <w:proofErr w:type="gramStart"/>
      <w:r>
        <w:rPr>
          <w:rFonts w:ascii="Times New Roman" w:hAnsi="Times New Roman" w:cs="Times New Roman"/>
        </w:rPr>
        <w:t>Spain)  are</w:t>
      </w:r>
      <w:proofErr w:type="gramEnd"/>
      <w:r>
        <w:rPr>
          <w:rFonts w:ascii="Times New Roman" w:hAnsi="Times New Roman" w:cs="Times New Roman"/>
        </w:rPr>
        <w:t xml:space="preserve"> yet to notify full transposition despite infringement procedures. The Commission brought one case for non-transposition to the Court of Justice, and in May 2020 addressed supplementary reasoned opinions to the other two Member States for failing to fully transpose the Directive.</w:t>
      </w:r>
    </w:p>
  </w:footnote>
  <w:footnote w:id="119">
    <w:p w:rsidR="00872751" w:rsidRPr="00310B0A"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sidRPr="00310B0A">
        <w:rPr>
          <w:rFonts w:ascii="Times New Roman" w:hAnsi="Times New Roman" w:cs="Times New Roman"/>
        </w:rPr>
        <w:t xml:space="preserve"> </w:t>
      </w:r>
      <w:r w:rsidRPr="00310B0A">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2020) 606.</w:t>
      </w:r>
    </w:p>
  </w:footnote>
  <w:footnote w:id="12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 Drugs Strategy 2013-2020 and the EU Action Plan on Drugs 2017-2020. </w:t>
      </w:r>
    </w:p>
  </w:footnote>
  <w:footnote w:id="121">
    <w:p w:rsidR="00872751" w:rsidRDefault="008477BD">
      <w:pPr>
        <w:spacing w:after="0" w:line="240" w:lineRule="auto"/>
        <w:ind w:left="284" w:hanging="284"/>
        <w:jc w:val="both"/>
        <w:rPr>
          <w:rFonts w:ascii="Times New Roman" w:hAnsi="Times New Roman" w:cs="Times New Roman"/>
          <w:color w:val="1F497D"/>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proofErr w:type="gramStart"/>
      <w:r>
        <w:rPr>
          <w:rFonts w:ascii="Times New Roman" w:hAnsi="Times New Roman" w:cs="Times New Roman"/>
          <w:sz w:val="20"/>
          <w:szCs w:val="20"/>
          <w:lang w:val="en-GB"/>
        </w:rPr>
        <w:t>COM(</w:t>
      </w:r>
      <w:proofErr w:type="gramEnd"/>
      <w:r>
        <w:rPr>
          <w:rFonts w:ascii="Times New Roman" w:hAnsi="Times New Roman" w:cs="Times New Roman"/>
          <w:sz w:val="20"/>
          <w:szCs w:val="20"/>
          <w:lang w:val="en-GB"/>
        </w:rPr>
        <w:t>2020) 768 of 30 November 2020.</w:t>
      </w:r>
    </w:p>
  </w:footnote>
  <w:footnote w:id="122">
    <w:p w:rsidR="00872751" w:rsidRDefault="008477BD">
      <w:pPr>
        <w:pStyle w:val="Heading1"/>
        <w:spacing w:before="0" w:line="240" w:lineRule="auto"/>
        <w:ind w:left="284" w:hanging="284"/>
        <w:jc w:val="both"/>
        <w:rPr>
          <w:rFonts w:ascii="Times New Roman" w:hAnsi="Times New Roman" w:cs="Times New Roman"/>
          <w:sz w:val="20"/>
          <w:szCs w:val="20"/>
        </w:rPr>
      </w:pPr>
      <w:r>
        <w:rPr>
          <w:rStyle w:val="FootnoteReference"/>
          <w:rFonts w:ascii="Times New Roman" w:eastAsiaTheme="minorEastAsia" w:hAnsi="Times New Roman" w:cs="Times New Roman"/>
          <w:color w:val="auto"/>
          <w:sz w:val="20"/>
          <w:szCs w:val="20"/>
        </w:rPr>
        <w:footnoteRef/>
      </w:r>
      <w:r>
        <w:rPr>
          <w:rStyle w:val="FootnoteReference"/>
          <w:rFonts w:ascii="Times New Roman" w:eastAsiaTheme="minorEastAsia" w:hAnsi="Times New Roman" w:cs="Times New Roman"/>
          <w:color w:val="auto"/>
          <w:sz w:val="20"/>
          <w:szCs w:val="20"/>
        </w:rPr>
        <w:t xml:space="preserve"> </w:t>
      </w:r>
      <w:r>
        <w:rPr>
          <w:rFonts w:ascii="Times New Roman" w:eastAsiaTheme="minorHAnsi" w:hAnsi="Times New Roman" w:cs="Times New Roman"/>
          <w:color w:val="auto"/>
          <w:sz w:val="20"/>
          <w:szCs w:val="20"/>
        </w:rPr>
        <w:tab/>
      </w:r>
      <w:r w:rsidRPr="00310B0A">
        <w:rPr>
          <w:rFonts w:ascii="Times New Roman" w:eastAsiaTheme="minorEastAsia" w:hAnsi="Times New Roman" w:cs="Times New Roman"/>
          <w:color w:val="auto"/>
          <w:sz w:val="20"/>
          <w:szCs w:val="20"/>
        </w:rPr>
        <w:t>European Drug Report 2020: Trends and Developments, EMCDDA, 22.09.2020.</w:t>
      </w:r>
    </w:p>
  </w:footnote>
  <w:footnote w:id="12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2017/</w:t>
      </w:r>
      <w:proofErr w:type="gramStart"/>
      <w:r>
        <w:rPr>
          <w:rFonts w:ascii="Times New Roman" w:hAnsi="Times New Roman" w:cs="Times New Roman"/>
        </w:rPr>
        <w:t xml:space="preserve">2101,   </w:t>
      </w:r>
      <w:proofErr w:type="gramEnd"/>
      <w:r>
        <w:rPr>
          <w:rFonts w:ascii="Times New Roman" w:hAnsi="Times New Roman" w:cs="Times New Roman"/>
        </w:rPr>
        <w:t xml:space="preserve">and Directive (EU) 2017/2103, </w:t>
      </w:r>
    </w:p>
  </w:footnote>
  <w:footnote w:id="124">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Austria, Finland, Ireland, Portugal and Slovenia.</w:t>
      </w:r>
      <w:r>
        <w:rPr>
          <w:rFonts w:ascii="Times New Roman" w:hAnsi="Times New Roman" w:cs="Times New Roman"/>
          <w:highlight w:val="yellow"/>
          <w:lang w:val="en-IE"/>
        </w:rPr>
        <w:t xml:space="preserve"> </w:t>
      </w:r>
    </w:p>
  </w:footnote>
  <w:footnote w:id="12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C/2020/5897; OJ L 379, 13.11.2020, p. 55.</w:t>
      </w:r>
    </w:p>
  </w:footnote>
  <w:footnote w:id="12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A governing body of UN Office on Drugs and Crime (UNODC).</w:t>
      </w:r>
    </w:p>
  </w:footnote>
  <w:footnote w:id="127">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2019) 631.</w:t>
      </w:r>
    </w:p>
  </w:footnote>
  <w:footnote w:id="128">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2019) 624 and COM(2020) 659.</w:t>
      </w:r>
    </w:p>
  </w:footnote>
  <w:footnote w:id="129">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EU-China Summit of 16-17 July 2018 in Beijing resulted in an agreement to launch an annual EU-China Dialogue on Drugs. The modalities of the future dialogue were confirmed by COREPER on 30 October 2019. The Council approved the launch of a new EU-Iran dialogue on drugs on 5 March 2020. </w:t>
      </w:r>
    </w:p>
  </w:footnote>
  <w:footnote w:id="13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Commission opinion regarding the draft working arrangement with Kosovo adopted on 14 April 2020, and on the one with Serbia adopted on 16 December 2019.</w:t>
      </w:r>
    </w:p>
  </w:footnote>
  <w:footnote w:id="131">
    <w:p w:rsidR="00872751" w:rsidRDefault="008477BD">
      <w:pPr>
        <w:pStyle w:val="FootnoteText"/>
        <w:ind w:left="284" w:hanging="284"/>
        <w:jc w:val="both"/>
        <w:rPr>
          <w:rFonts w:ascii="Times New Roman" w:hAnsi="Times New Roman" w:cs="Times New Roman"/>
          <w:lang w:val="en-US"/>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COM (2020) 2017.</w:t>
      </w:r>
    </w:p>
  </w:footnote>
  <w:footnote w:id="13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Including the assessment of Directive 2014/42/EU and Council Decision 2007/845/JHA.</w:t>
      </w:r>
    </w:p>
  </w:footnote>
  <w:footnote w:id="13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2018/1805</w:t>
      </w:r>
    </w:p>
  </w:footnote>
  <w:footnote w:id="134">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w:t>
      </w:r>
      <w:proofErr w:type="gramEnd"/>
      <w:r>
        <w:rPr>
          <w:rFonts w:ascii="Times New Roman" w:hAnsi="Times New Roman" w:cs="Times New Roman"/>
        </w:rPr>
        <w:t>2020) 2800 final.</w:t>
      </w:r>
    </w:p>
  </w:footnote>
  <w:footnote w:id="13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 xml:space="preserve"> </w:t>
      </w:r>
      <w:r>
        <w:rPr>
          <w:rFonts w:ascii="Times New Roman" w:hAnsi="Times New Roman" w:cs="Times New Roman"/>
        </w:rPr>
        <w:tab/>
        <w:t>Council conclusions 12608/20.</w:t>
      </w:r>
    </w:p>
  </w:footnote>
  <w:footnote w:id="13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Council conclusions 8927/20.</w:t>
      </w:r>
    </w:p>
  </w:footnote>
  <w:footnote w:id="137">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Austria, Belgium, Cyprus, Czechia, Greece, Hungary, Estonia, Ireland, Luxembourg, Netherlands, Poland, Portugal, Romania, Slovakia, Slovenia, Spain, as well as the United Kingdom</w:t>
      </w:r>
      <w:r>
        <w:rPr>
          <w:rFonts w:ascii="Times New Roman" w:hAnsi="Times New Roman" w:cs="Times New Roman"/>
          <w:lang w:val="en-IE"/>
        </w:rPr>
        <w:tab/>
      </w:r>
    </w:p>
  </w:footnote>
  <w:footnote w:id="138">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5" w:history="1">
        <w:r>
          <w:rPr>
            <w:rFonts w:ascii="Times New Roman" w:hAnsi="Times New Roman" w:cs="Times New Roman"/>
          </w:rPr>
          <w:t>Regulation (EU) 2018/1672</w:t>
        </w:r>
      </w:hyperlink>
      <w:r>
        <w:rPr>
          <w:rFonts w:ascii="Times New Roman" w:hAnsi="Times New Roman" w:cs="Times New Roman"/>
        </w:rPr>
        <w:t>.</w:t>
      </w:r>
    </w:p>
  </w:footnote>
  <w:footnote w:id="139">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The European Rule of Law Mechanism provides a process for dialogue between the Commission and Member States, as well as the Council and the European Parliament, and national parliaments, civil society and other stakeholders on the rule of law. The Rule of Law Reports are the core of this new process.</w:t>
      </w:r>
    </w:p>
  </w:footnote>
  <w:footnote w:id="14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proofErr w:type="gramStart"/>
      <w:r>
        <w:rPr>
          <w:rFonts w:ascii="Times New Roman" w:eastAsiaTheme="minorEastAsia" w:hAnsi="Times New Roman" w:cs="Times New Roman"/>
        </w:rPr>
        <w:t>COM(</w:t>
      </w:r>
      <w:proofErr w:type="gramEnd"/>
      <w:r>
        <w:rPr>
          <w:rFonts w:ascii="Times New Roman" w:eastAsiaTheme="minorEastAsia" w:hAnsi="Times New Roman" w:cs="Times New Roman"/>
        </w:rPr>
        <w:t>2020) 580.</w:t>
      </w:r>
    </w:p>
  </w:footnote>
  <w:footnote w:id="141">
    <w:p w:rsidR="00872751" w:rsidRDefault="008477BD">
      <w:pPr>
        <w:pStyle w:val="NormalWeb"/>
        <w:spacing w:before="0" w:beforeAutospacing="0" w:after="0" w:afterAutospacing="0"/>
        <w:ind w:left="284" w:hanging="284"/>
        <w:jc w:val="both"/>
        <w:rPr>
          <w:color w:val="000000"/>
          <w:sz w:val="20"/>
          <w:szCs w:val="20"/>
          <w:shd w:val="clear" w:color="auto" w:fill="FFFFFF"/>
        </w:rPr>
      </w:pPr>
      <w:r>
        <w:rPr>
          <w:rStyle w:val="FootnoteReference"/>
          <w:rFonts w:eastAsiaTheme="minorEastAsia"/>
          <w:sz w:val="20"/>
          <w:szCs w:val="20"/>
          <w:lang w:eastAsia="en-US"/>
        </w:rPr>
        <w:footnoteRef/>
      </w:r>
      <w:r>
        <w:rPr>
          <w:rStyle w:val="FootnoteReference"/>
          <w:rFonts w:eastAsiaTheme="minorEastAsia"/>
          <w:sz w:val="20"/>
          <w:szCs w:val="20"/>
          <w:lang w:eastAsia="en-US"/>
        </w:rPr>
        <w:t xml:space="preserve"> </w:t>
      </w:r>
      <w:r>
        <w:rPr>
          <w:rFonts w:eastAsiaTheme="minorEastAsia"/>
          <w:sz w:val="20"/>
          <w:szCs w:val="20"/>
          <w:lang w:eastAsia="en-US"/>
        </w:rPr>
        <w:t xml:space="preserve">The Council Implementing Decision appointing the European Prosecutors entered into force on 29 July 2020. The European Prosecutors form the </w:t>
      </w:r>
      <w:proofErr w:type="gramStart"/>
      <w:r>
        <w:rPr>
          <w:rFonts w:eastAsiaTheme="minorEastAsia"/>
          <w:sz w:val="20"/>
          <w:szCs w:val="20"/>
          <w:lang w:eastAsia="en-US"/>
        </w:rPr>
        <w:t>College  held</w:t>
      </w:r>
      <w:proofErr w:type="gramEnd"/>
      <w:r>
        <w:rPr>
          <w:rFonts w:eastAsiaTheme="minorEastAsia"/>
          <w:sz w:val="20"/>
          <w:szCs w:val="20"/>
          <w:lang w:eastAsia="en-US"/>
        </w:rPr>
        <w:t xml:space="preserve"> its first meeting on 28 September 2020.   The EPPO will soon conclude working arrangements with Europol, Eurojust and OLAF.</w:t>
      </w:r>
      <w:r>
        <w:rPr>
          <w:color w:val="000000"/>
          <w:sz w:val="20"/>
          <w:szCs w:val="20"/>
          <w:shd w:val="clear" w:color="auto" w:fill="FFFFFF"/>
        </w:rPr>
        <w:t> </w:t>
      </w:r>
    </w:p>
  </w:footnote>
  <w:footnote w:id="14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(EU) 2017/1371.</w:t>
      </w:r>
    </w:p>
  </w:footnote>
  <w:footnote w:id="14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Infringement procedures currently remain open against</w:t>
      </w:r>
      <w:r>
        <w:rPr>
          <w:rFonts w:ascii="Times New Roman" w:eastAsiaTheme="minorEastAsia" w:hAnsi="Times New Roman" w:cs="Times New Roman"/>
        </w:rPr>
        <w:t xml:space="preserve"> Austria, Ireland, and Romania.</w:t>
      </w:r>
      <w:r>
        <w:rPr>
          <w:rFonts w:ascii="Times New Roman" w:hAnsi="Times New Roman" w:cs="Times New Roman"/>
        </w:rPr>
        <w:t xml:space="preserve"> </w:t>
      </w:r>
    </w:p>
  </w:footnote>
  <w:footnote w:id="144">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 xml:space="preserve">Regulation (EU) 2019/880 </w:t>
      </w:r>
    </w:p>
  </w:footnote>
  <w:footnote w:id="14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ICG has to be established before 28 June 2025 at the latest. The Commission has adopted a first Progress Report on developing the ICG. [</w:t>
      </w:r>
      <w:proofErr w:type="gramStart"/>
      <w:r>
        <w:rPr>
          <w:rFonts w:ascii="Times New Roman" w:hAnsi="Times New Roman" w:cs="Times New Roman"/>
        </w:rPr>
        <w:t>COM(</w:t>
      </w:r>
      <w:proofErr w:type="gramEnd"/>
      <w:r>
        <w:rPr>
          <w:rFonts w:ascii="Times New Roman" w:hAnsi="Times New Roman" w:cs="Times New Roman"/>
        </w:rPr>
        <w:t>2020) 342].</w:t>
      </w:r>
    </w:p>
  </w:footnote>
  <w:footnote w:id="14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proofErr w:type="gramStart"/>
      <w:r>
        <w:rPr>
          <w:rFonts w:ascii="Times New Roman" w:hAnsi="Times New Roman" w:cs="Times New Roman"/>
        </w:rPr>
        <w:t>COM(</w:t>
      </w:r>
      <w:proofErr w:type="gramEnd"/>
      <w:r>
        <w:rPr>
          <w:rFonts w:ascii="Times New Roman" w:hAnsi="Times New Roman" w:cs="Times New Roman"/>
        </w:rPr>
        <w:t xml:space="preserve">2020)608: this new action plan integrates the </w:t>
      </w:r>
      <w:proofErr w:type="spellStart"/>
      <w:r>
        <w:rPr>
          <w:rFonts w:ascii="Times New Roman" w:hAnsi="Times New Roman" w:cs="Times New Roman"/>
        </w:rPr>
        <w:t>franco-german</w:t>
      </w:r>
      <w:proofErr w:type="spellEnd"/>
      <w:r>
        <w:rPr>
          <w:rFonts w:ascii="Times New Roman" w:hAnsi="Times New Roman" w:cs="Times New Roman"/>
        </w:rPr>
        <w:t xml:space="preserve"> initiative for the Western Balkan “Roadmap for a sustainable solution to the illegal possession, misuse and trafficking of SALW and their ammunition until 2024”.</w:t>
      </w:r>
    </w:p>
  </w:footnote>
  <w:footnote w:id="147">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 xml:space="preserve">Directive (EU) 2017/853. </w:t>
      </w:r>
      <w:proofErr w:type="gramStart"/>
      <w:r>
        <w:rPr>
          <w:rFonts w:ascii="Times New Roman" w:hAnsi="Times New Roman" w:cs="Times New Roman"/>
        </w:rPr>
        <w:t>Also</w:t>
      </w:r>
      <w:proofErr w:type="gramEnd"/>
      <w:r>
        <w:rPr>
          <w:rFonts w:ascii="Times New Roman" w:hAnsi="Times New Roman" w:cs="Times New Roman"/>
        </w:rPr>
        <w:t xml:space="preserve"> key were two implementing directives of 16 January 2019 providing for technical specifications on marking and signal and alarm weapons.</w:t>
      </w:r>
    </w:p>
  </w:footnote>
  <w:footnote w:id="148">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These are Czechia, Denmark, Spain, Cyprus, Luxembourg, Hungary, Poland, Slovenia, Slovakia and Sweden</w:t>
      </w:r>
      <w:r>
        <w:rPr>
          <w:rFonts w:ascii="Times New Roman" w:hAnsi="Times New Roman" w:cs="Times New Roman"/>
          <w:highlight w:val="yellow"/>
        </w:rPr>
        <w:t xml:space="preserve"> </w:t>
      </w:r>
    </w:p>
  </w:footnote>
  <w:footnote w:id="149">
    <w:p w:rsidR="00872751" w:rsidRDefault="008477BD">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There are 25 ongoing regarding this Directive(</w:t>
      </w:r>
      <w:r>
        <w:rPr>
          <w:rFonts w:ascii="Times New Roman" w:hAnsi="Times New Roman" w:cs="Times New Roman"/>
          <w:sz w:val="20"/>
          <w:szCs w:val="20"/>
          <w:lang w:val="en-GB"/>
        </w:rPr>
        <w:t>Austria, Belgium, Bulgaria, Cyprus, Czechia, Denmark, Germany, Estonia, Greece, Spain, Finland, France, Hungary, Ireland, Lithuania, Luxembourg, Latvia, Malta, Netherlands, Poland, Portugal, Romania, Sweden, Slovenia, and Slovakia, as well as the United Kingdom)</w:t>
      </w:r>
      <w:r>
        <w:rPr>
          <w:rFonts w:ascii="Times New Roman" w:hAnsi="Times New Roman" w:cs="Times New Roman"/>
          <w:sz w:val="20"/>
          <w:szCs w:val="20"/>
        </w:rPr>
        <w:t xml:space="preserve"> and 34 related to the implementing Directives </w:t>
      </w:r>
      <w:r>
        <w:rPr>
          <w:rFonts w:ascii="Times New Roman" w:hAnsi="Times New Roman" w:cs="Times New Roman"/>
          <w:sz w:val="20"/>
          <w:szCs w:val="20"/>
          <w:lang w:val="en-GB"/>
        </w:rPr>
        <w:t>(Directive 2019/68 - Austria, Belgium, Bulgaria, Cyprus, Czechia, Germany, Greece, Spain, Finland, Croatia, Hungary, Ireland, Italy, Luxembourg, Poland, Romania, Sweden, Slovenia, plus the United Kingdom and Directive 2019/69 - Bulgaria, Cyprus, Czechia, Greece, Spain, Finland, Croatia, Hungary, Ireland, Italy, Luxembourg, Netherlands, Poland , Romania, Sweden, and Slovenia, as well as the United Kingdom)</w:t>
      </w:r>
    </w:p>
  </w:footnote>
  <w:footnote w:id="15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lang w:val="en-US"/>
        </w:rPr>
        <w:footnoteRef/>
      </w:r>
      <w:r>
        <w:rPr>
          <w:rStyle w:val="FootnoteReference"/>
          <w:rFonts w:ascii="Times New Roman" w:hAnsi="Times New Roman" w:cs="Times New Roman"/>
          <w:lang w:val="en-US"/>
        </w:rPr>
        <w:t xml:space="preserve"> </w:t>
      </w:r>
      <w:r>
        <w:rPr>
          <w:rFonts w:ascii="Times New Roman" w:hAnsi="Times New Roman" w:cs="Times New Roman"/>
          <w:lang w:val="en-US"/>
        </w:rPr>
        <w:tab/>
      </w:r>
      <w:r>
        <w:rPr>
          <w:rFonts w:ascii="Times New Roman" w:hAnsi="Times New Roman" w:cs="Times New Roman"/>
        </w:rPr>
        <w:t>Regulated by Regulation (EU) No 258/2012.</w:t>
      </w:r>
    </w:p>
  </w:footnote>
  <w:footnote w:id="151">
    <w:p w:rsidR="00872751" w:rsidRPr="00310B0A"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color w:val="000000"/>
        </w:rPr>
        <w:footnoteRef/>
      </w:r>
      <w:r w:rsidRPr="00310B0A">
        <w:rPr>
          <w:rFonts w:ascii="Times New Roman" w:hAnsi="Times New Roman" w:cs="Times New Roman"/>
          <w:color w:val="000000"/>
        </w:rPr>
        <w:t xml:space="preserve"> </w:t>
      </w:r>
      <w:r w:rsidRPr="00310B0A">
        <w:rPr>
          <w:rFonts w:ascii="Times New Roman" w:hAnsi="Times New Roman" w:cs="Times New Roman"/>
          <w:color w:val="000000"/>
        </w:rPr>
        <w:tab/>
        <w:t>OJL -101, 15.04.2011, p1.</w:t>
      </w:r>
    </w:p>
  </w:footnote>
  <w:footnote w:id="15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color w:val="000000"/>
        </w:rPr>
        <w:footnoteRef/>
      </w:r>
      <w:r>
        <w:rPr>
          <w:rStyle w:val="FootnoteReference"/>
          <w:rFonts w:ascii="Times New Roman" w:hAnsi="Times New Roman" w:cs="Times New Roman"/>
          <w:color w:val="000000"/>
        </w:rPr>
        <w:t xml:space="preserve"> </w:t>
      </w:r>
      <w:r>
        <w:rPr>
          <w:rFonts w:ascii="Times New Roman" w:hAnsi="Times New Roman" w:cs="Times New Roman"/>
          <w:color w:val="000000"/>
        </w:rPr>
        <w:tab/>
      </w:r>
      <w:proofErr w:type="gramStart"/>
      <w:r w:rsidRPr="00310B0A">
        <w:rPr>
          <w:rFonts w:ascii="Times New Roman" w:hAnsi="Times New Roman" w:cs="Times New Roman"/>
          <w:color w:val="000000"/>
        </w:rPr>
        <w:t>COM(</w:t>
      </w:r>
      <w:proofErr w:type="gramEnd"/>
      <w:r w:rsidRPr="00310B0A">
        <w:rPr>
          <w:rFonts w:ascii="Times New Roman" w:hAnsi="Times New Roman" w:cs="Times New Roman"/>
          <w:color w:val="000000"/>
        </w:rPr>
        <w:t>2020) 661 final, complemented by a study on the data collection of trafficking in human beings in the EU 2017-2018.</w:t>
      </w:r>
      <w:r>
        <w:rPr>
          <w:rFonts w:ascii="Times New Roman" w:hAnsi="Times New Roman" w:cs="Times New Roman"/>
        </w:rPr>
        <w:t xml:space="preserve"> </w:t>
      </w:r>
    </w:p>
  </w:footnote>
  <w:footnote w:id="153">
    <w:p w:rsidR="00872751" w:rsidRPr="00310B0A" w:rsidRDefault="008477BD">
      <w:pPr>
        <w:pStyle w:val="FootnoteText"/>
        <w:ind w:left="284" w:hanging="284"/>
        <w:jc w:val="both"/>
        <w:rPr>
          <w:rFonts w:ascii="Times New Roman" w:hAnsi="Times New Roman" w:cs="Times New Roman"/>
          <w:color w:val="000000"/>
        </w:rPr>
      </w:pPr>
      <w:r>
        <w:rPr>
          <w:rStyle w:val="FootnoteReference"/>
          <w:rFonts w:ascii="Times New Roman" w:hAnsi="Times New Roman" w:cs="Times New Roman"/>
          <w:lang w:val="en-US"/>
        </w:rPr>
        <w:footnoteRef/>
      </w:r>
      <w:r>
        <w:rPr>
          <w:rStyle w:val="FootnoteReference"/>
          <w:rFonts w:ascii="Times New Roman" w:hAnsi="Times New Roman" w:cs="Times New Roman"/>
          <w:lang w:val="en-US"/>
        </w:rPr>
        <w:t xml:space="preserve"> </w:t>
      </w:r>
      <w:r w:rsidRPr="00310B0A">
        <w:rPr>
          <w:rFonts w:ascii="Times New Roman" w:hAnsi="Times New Roman" w:cs="Times New Roman"/>
          <w:color w:val="000000"/>
        </w:rPr>
        <w:t>For example, the European Labour Authority cooperated with Europol to combat trafficking in human beings in the EU for all forms of exploitation, including sexual and labour exploitation as well as all forms of child trafficking. This is also in recognition of Forced Labour Protocol (P29) of the International Labour Organization. This Protocol is a core labour standard identifying forced labour as a crime, addressing prevention, protection of victims, compensation and international cooperation in present forms of forced labour, including related to trafficking.</w:t>
      </w:r>
    </w:p>
  </w:footnote>
  <w:footnote w:id="154">
    <w:p w:rsidR="00872751" w:rsidRDefault="008477BD">
      <w:pPr>
        <w:pStyle w:val="FootnoteText"/>
        <w:ind w:left="284" w:hanging="284"/>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Studies on the economic, social and human costs of trafficking in human beings and reviewing the functioning of Member States’ National and Transnational Referral Mechanisms, available on </w:t>
      </w:r>
      <w:hyperlink r:id="rId16" w:history="1">
        <w:r>
          <w:rPr>
            <w:rStyle w:val="Hyperlink"/>
            <w:rFonts w:ascii="Times New Roman" w:hAnsi="Times New Roman" w:cs="Times New Roman"/>
          </w:rPr>
          <w:t>https://ec.europa.eu/anti-trafficking</w:t>
        </w:r>
      </w:hyperlink>
      <w:r>
        <w:rPr>
          <w:rStyle w:val="Hyperlink"/>
          <w:rFonts w:ascii="Times New Roman" w:hAnsi="Times New Roman" w:cs="Times New Roman"/>
        </w:rPr>
        <w:t>.</w:t>
      </w:r>
    </w:p>
  </w:footnote>
  <w:footnote w:id="15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European migrant smuggling centre, 4th annual report, 15.05.2020.</w:t>
      </w:r>
    </w:p>
  </w:footnote>
  <w:footnote w:id="15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http://www.eurojust.europa.eu/press/PressReleases/Pages/2020/2020-05-29.aspx.</w:t>
      </w:r>
    </w:p>
  </w:footnote>
  <w:footnote w:id="157">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Directive on the protection of the environment through criminal law, 2008/99/EC.</w:t>
      </w:r>
    </w:p>
  </w:footnote>
  <w:footnote w:id="158">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Style w:val="FootnoteReference"/>
          <w:rFonts w:ascii="Times New Roman" w:hAnsi="Times New Roman" w:cs="Times New Roman"/>
        </w:rPr>
        <w:tab/>
      </w:r>
      <w:proofErr w:type="gramStart"/>
      <w:r>
        <w:rPr>
          <w:rFonts w:ascii="Times New Roman" w:hAnsi="Times New Roman" w:cs="Times New Roman"/>
        </w:rPr>
        <w:t>SWD(</w:t>
      </w:r>
      <w:proofErr w:type="gramEnd"/>
      <w:r>
        <w:rPr>
          <w:rFonts w:ascii="Times New Roman" w:hAnsi="Times New Roman" w:cs="Times New Roman"/>
        </w:rPr>
        <w:t xml:space="preserve">2020) 259 final. </w:t>
      </w:r>
    </w:p>
  </w:footnote>
  <w:footnote w:id="159">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r>
      <w:hyperlink r:id="rId17" w:history="1">
        <w:r>
          <w:rPr>
            <w:rFonts w:ascii="Times New Roman" w:hAnsi="Times New Roman" w:cs="Times New Roman"/>
          </w:rPr>
          <w:t>https://wwf.be/fr/wildlife-cybercrime/</w:t>
        </w:r>
      </w:hyperlink>
      <w:r>
        <w:rPr>
          <w:rFonts w:ascii="Times New Roman" w:hAnsi="Times New Roman" w:cs="Times New Roman"/>
        </w:rPr>
        <w:t xml:space="preserve">. </w:t>
      </w:r>
    </w:p>
  </w:footnote>
  <w:footnote w:id="16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 xml:space="preserve"> COM (2020) 796. </w:t>
      </w:r>
    </w:p>
  </w:footnote>
  <w:footnote w:id="161">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EMPACT is the EU police cooperation tool to address the most important threats to EU security by strengthening co-operation between the relevant services of the Member States, EU institutions and EU agencies as well as third countries and organisations. EMPACT associates different stakeholders (multidisciplinary approach) to improve and strengthen the co-operation between Member States, EU institutions and EU agencies as well as third countries and organisations, including the private sector.</w:t>
      </w:r>
    </w:p>
  </w:footnote>
  <w:footnote w:id="16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EMPACT Joint Action Days: “operation BOSPHORUS”, 1,776 firearms seized (2-11 November)., </w:t>
      </w:r>
      <w:hyperlink r:id="rId18" w:history="1">
        <w:r>
          <w:rPr>
            <w:rStyle w:val="Hyperlink"/>
            <w:rFonts w:ascii="Times New Roman" w:hAnsi="Times New Roman" w:cs="Times New Roman"/>
          </w:rPr>
          <w:t>“JADs Mobile 3”: more than 350 stolen cars and more than 1000 stolen car parts were recovered</w:t>
        </w:r>
      </w:hyperlink>
      <w:r>
        <w:rPr>
          <w:rFonts w:ascii="Times New Roman" w:hAnsi="Times New Roman" w:cs="Times New Roman"/>
        </w:rPr>
        <w:t>. (12-13 October), “</w:t>
      </w:r>
      <w:hyperlink r:id="rId19" w:history="1">
        <w:r>
          <w:rPr>
            <w:rStyle w:val="Hyperlink"/>
            <w:rFonts w:ascii="Times New Roman" w:hAnsi="Times New Roman" w:cs="Times New Roman"/>
          </w:rPr>
          <w:t>JADs against human trafficking for labour exploitation”, officers identified 715 potential victims of labour exploitation</w:t>
        </w:r>
      </w:hyperlink>
      <w:r>
        <w:rPr>
          <w:rStyle w:val="Hyperlink"/>
          <w:rFonts w:ascii="Times New Roman" w:hAnsi="Times New Roman" w:cs="Times New Roman"/>
        </w:rPr>
        <w:t xml:space="preserve"> (14-20 September)</w:t>
      </w:r>
      <w:r>
        <w:rPr>
          <w:rFonts w:ascii="Times New Roman" w:hAnsi="Times New Roman" w:cs="Times New Roman"/>
        </w:rPr>
        <w:t>. “</w:t>
      </w:r>
      <w:hyperlink r:id="rId20" w:history="1">
        <w:r>
          <w:rPr>
            <w:rStyle w:val="Hyperlink"/>
            <w:rFonts w:ascii="Times New Roman" w:hAnsi="Times New Roman" w:cs="Times New Roman"/>
          </w:rPr>
          <w:t>JADs against crime in southeast Europe”, 51 weapons of different types and 47 kilograms of a variety of drugs</w:t>
        </w:r>
      </w:hyperlink>
      <w:r>
        <w:rPr>
          <w:rStyle w:val="Hyperlink"/>
          <w:rFonts w:ascii="Times New Roman" w:hAnsi="Times New Roman" w:cs="Times New Roman"/>
        </w:rPr>
        <w:t xml:space="preserve"> (September)</w:t>
      </w:r>
      <w:r>
        <w:rPr>
          <w:rFonts w:ascii="Times New Roman" w:hAnsi="Times New Roman" w:cs="Times New Roman"/>
          <w:lang w:val="en-IE"/>
        </w:rPr>
        <w:t>.</w:t>
      </w:r>
    </w:p>
  </w:footnote>
  <w:footnote w:id="16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All detailed factsheets of results with figures, per EMPACT EU crime priorities, can be consulted here: </w:t>
      </w:r>
      <w:hyperlink r:id="rId21" w:history="1">
        <w:r>
          <w:rPr>
            <w:rStyle w:val="Hyperlink"/>
            <w:rFonts w:ascii="Times New Roman" w:hAnsi="Times New Roman" w:cs="Times New Roman"/>
          </w:rPr>
          <w:t>https://data.consilium.europa.eu/doc/document/ST-7623-2020-INIT/en/pdf</w:t>
        </w:r>
      </w:hyperlink>
      <w:r>
        <w:rPr>
          <w:rFonts w:ascii="Times New Roman" w:hAnsi="Times New Roman" w:cs="Times New Roman"/>
        </w:rPr>
        <w:t>, Doc 7623/20 5 May 2020.</w:t>
      </w:r>
    </w:p>
  </w:footnote>
  <w:footnote w:id="164">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An independent evaluation was foreseen in Council conclusions of 27 March 2017 on the continuation of the EU Policy Cycle for organised and serious international crime for the period 2018-2021 (7704/17).</w:t>
      </w:r>
    </w:p>
  </w:footnote>
  <w:footnote w:id="16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 xml:space="preserve">See for example the </w:t>
      </w:r>
      <w:r>
        <w:rPr>
          <w:rFonts w:ascii="Times New Roman" w:hAnsi="Times New Roman" w:cs="Times New Roman"/>
          <w:lang w:val="en-US"/>
        </w:rPr>
        <w:t>Customs Cooperation Working Party (CCWP) Action Plan.</w:t>
      </w:r>
      <w:r>
        <w:rPr>
          <w:rFonts w:ascii="Times New Roman" w:hAnsi="Times New Roman" w:cs="Times New Roman"/>
        </w:rPr>
        <w:t xml:space="preserve"> Key areas for 2020-2021 include: an increased presence of customs officials in the Liaison Bureaux in Europol, direct access for customs authorities to the Europol Secure Information Exchange Network Application (SIENA), a better representation of customs officials in the Europol National Units and participation of Police and Customs chiefs in the European Police Chief Convention.</w:t>
      </w:r>
    </w:p>
  </w:footnote>
  <w:footnote w:id="16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Excise/VAT fraud, firearms trafficking, environmental crime, criminal finances, fight against child sexual abuse. </w:t>
      </w:r>
    </w:p>
  </w:footnote>
  <w:footnote w:id="167">
    <w:p w:rsidR="00872751" w:rsidRDefault="008477BD">
      <w:pPr>
        <w:pStyle w:val="FootnoteText"/>
        <w:ind w:left="284" w:hanging="284"/>
        <w:jc w:val="both"/>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lang w:val="fr-BE"/>
        </w:rPr>
        <w:t xml:space="preserve"> </w:t>
      </w:r>
      <w:r>
        <w:rPr>
          <w:rFonts w:ascii="Times New Roman" w:hAnsi="Times New Roman" w:cs="Times New Roman"/>
          <w:lang w:val="fr-BE"/>
        </w:rPr>
        <w:tab/>
      </w:r>
      <w:proofErr w:type="spellStart"/>
      <w:r>
        <w:rPr>
          <w:rFonts w:ascii="Times New Roman" w:hAnsi="Times New Roman" w:cs="Times New Roman"/>
          <w:lang w:val="fr-BE"/>
        </w:rPr>
        <w:t>Regulation</w:t>
      </w:r>
      <w:proofErr w:type="spellEnd"/>
      <w:r>
        <w:rPr>
          <w:rFonts w:ascii="Times New Roman" w:hAnsi="Times New Roman" w:cs="Times New Roman"/>
          <w:lang w:val="fr-BE"/>
        </w:rPr>
        <w:t xml:space="preserve"> (EU) 2018/1860, </w:t>
      </w:r>
      <w:proofErr w:type="spellStart"/>
      <w:r>
        <w:rPr>
          <w:rFonts w:ascii="Times New Roman" w:hAnsi="Times New Roman" w:cs="Times New Roman"/>
          <w:lang w:val="fr-BE"/>
        </w:rPr>
        <w:t>Regulation</w:t>
      </w:r>
      <w:proofErr w:type="spellEnd"/>
      <w:r>
        <w:rPr>
          <w:rFonts w:ascii="Times New Roman" w:hAnsi="Times New Roman" w:cs="Times New Roman"/>
          <w:lang w:val="fr-BE"/>
        </w:rPr>
        <w:t xml:space="preserve"> (EU) 2018/1861, </w:t>
      </w:r>
      <w:proofErr w:type="spellStart"/>
      <w:r>
        <w:rPr>
          <w:rFonts w:ascii="Times New Roman" w:hAnsi="Times New Roman" w:cs="Times New Roman"/>
          <w:lang w:val="fr-BE"/>
        </w:rPr>
        <w:t>Regulation</w:t>
      </w:r>
      <w:proofErr w:type="spellEnd"/>
      <w:r>
        <w:rPr>
          <w:rFonts w:ascii="Times New Roman" w:hAnsi="Times New Roman" w:cs="Times New Roman"/>
          <w:lang w:val="fr-BE"/>
        </w:rPr>
        <w:t xml:space="preserve"> (EU) 2018/1862.</w:t>
      </w:r>
    </w:p>
  </w:footnote>
  <w:footnote w:id="168">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en-IE"/>
        </w:rPr>
        <w:tab/>
      </w:r>
      <w:r>
        <w:rPr>
          <w:rFonts w:ascii="Times New Roman" w:hAnsi="Times New Roman" w:cs="Times New Roman"/>
        </w:rPr>
        <w:t>The SIS will also be updated in line with the proposed amendments to the Europol Regulation (</w:t>
      </w:r>
      <w:proofErr w:type="gramStart"/>
      <w:r>
        <w:rPr>
          <w:rFonts w:ascii="Times New Roman" w:hAnsi="Times New Roman" w:cs="Times New Roman"/>
        </w:rPr>
        <w:t>COM(</w:t>
      </w:r>
      <w:proofErr w:type="gramEnd"/>
      <w:r>
        <w:rPr>
          <w:rFonts w:ascii="Times New Roman" w:hAnsi="Times New Roman" w:cs="Times New Roman"/>
        </w:rPr>
        <w:t>2020) XXX).</w:t>
      </w:r>
    </w:p>
  </w:footnote>
  <w:footnote w:id="169">
    <w:p w:rsidR="00872751" w:rsidRPr="00310B0A" w:rsidRDefault="008477BD">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sidRPr="00310B0A">
        <w:rPr>
          <w:rStyle w:val="FootnoteReference"/>
          <w:rFonts w:ascii="Times New Roman" w:hAnsi="Times New Roman" w:cs="Times New Roman"/>
          <w:lang w:val="pt-PT"/>
        </w:rPr>
        <w:t xml:space="preserve"> </w:t>
      </w:r>
      <w:r w:rsidRPr="00310B0A">
        <w:rPr>
          <w:rFonts w:ascii="Times New Roman" w:hAnsi="Times New Roman" w:cs="Times New Roman"/>
          <w:lang w:val="pt-PT"/>
        </w:rPr>
        <w:tab/>
      </w:r>
      <w:r w:rsidRPr="00310B0A">
        <w:rPr>
          <w:rFonts w:ascii="Times New Roman" w:hAnsi="Times New Roman" w:cs="Times New Roman"/>
          <w:lang w:val="pt-PT"/>
        </w:rPr>
        <w:t>COM(2020) 305.</w:t>
      </w:r>
    </w:p>
  </w:footnote>
  <w:footnote w:id="170">
    <w:p w:rsidR="00872751" w:rsidRPr="00310B0A" w:rsidRDefault="008477BD">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sidRPr="00310B0A">
        <w:rPr>
          <w:rFonts w:ascii="Times New Roman" w:hAnsi="Times New Roman" w:cs="Times New Roman"/>
          <w:lang w:val="pt-PT"/>
        </w:rPr>
        <w:t xml:space="preserve"> </w:t>
      </w:r>
      <w:r w:rsidRPr="00310B0A">
        <w:rPr>
          <w:rFonts w:ascii="Times New Roman" w:hAnsi="Times New Roman" w:cs="Times New Roman"/>
          <w:lang w:val="pt-PT"/>
        </w:rPr>
        <w:tab/>
      </w:r>
      <w:r w:rsidRPr="00310B0A">
        <w:rPr>
          <w:rFonts w:ascii="Times New Roman" w:hAnsi="Times New Roman" w:cs="Times New Roman"/>
          <w:lang w:val="pt-PT"/>
        </w:rPr>
        <w:t xml:space="preserve">Directive </w:t>
      </w:r>
      <w:r w:rsidRPr="00310B0A">
        <w:rPr>
          <w:rFonts w:ascii="Times New Roman" w:hAnsi="Times New Roman" w:cs="Times New Roman"/>
          <w:lang w:val="pt-PT"/>
        </w:rPr>
        <w:t>(EU) 2016/681.</w:t>
      </w:r>
    </w:p>
  </w:footnote>
  <w:footnote w:id="171">
    <w:p w:rsidR="00872751" w:rsidRPr="00310B0A" w:rsidRDefault="008477BD">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sidRPr="00310B0A">
        <w:rPr>
          <w:rFonts w:ascii="Times New Roman" w:hAnsi="Times New Roman" w:cs="Times New Roman"/>
          <w:lang w:val="pt-PT"/>
        </w:rPr>
        <w:t xml:space="preserve"> </w:t>
      </w:r>
      <w:r w:rsidRPr="00310B0A">
        <w:rPr>
          <w:rFonts w:ascii="Times New Roman" w:hAnsi="Times New Roman" w:cs="Times New Roman"/>
          <w:lang w:val="pt-PT"/>
        </w:rPr>
        <w:tab/>
      </w:r>
      <w:r w:rsidRPr="00310B0A">
        <w:rPr>
          <w:rFonts w:ascii="Times New Roman" w:hAnsi="Times New Roman" w:cs="Times New Roman"/>
          <w:lang w:val="pt-PT"/>
        </w:rPr>
        <w:t>Slovenia</w:t>
      </w:r>
    </w:p>
  </w:footnote>
  <w:footnote w:id="172">
    <w:p w:rsidR="00872751" w:rsidRPr="00310B0A" w:rsidRDefault="008477BD">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rPr>
        <w:footnoteRef/>
      </w:r>
      <w:r w:rsidRPr="00310B0A">
        <w:rPr>
          <w:rFonts w:ascii="Times New Roman" w:hAnsi="Times New Roman" w:cs="Times New Roman"/>
          <w:lang w:val="pt-PT"/>
        </w:rPr>
        <w:t xml:space="preserve"> </w:t>
      </w:r>
      <w:r w:rsidRPr="00310B0A">
        <w:rPr>
          <w:rFonts w:ascii="Times New Roman" w:hAnsi="Times New Roman" w:cs="Times New Roman"/>
          <w:lang w:val="pt-PT"/>
        </w:rPr>
        <w:tab/>
      </w:r>
      <w:r w:rsidRPr="00310B0A">
        <w:rPr>
          <w:rFonts w:ascii="Times New Roman" w:hAnsi="Times New Roman" w:cs="Times New Roman"/>
          <w:lang w:val="pt-PT"/>
        </w:rPr>
        <w:t>SWD(2020) 174.</w:t>
      </w:r>
    </w:p>
  </w:footnote>
  <w:footnote w:id="17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w:t>
      </w:r>
      <w:proofErr w:type="spellStart"/>
      <w:r>
        <w:rPr>
          <w:rFonts w:ascii="Times New Roman" w:hAnsi="Times New Roman" w:cs="Times New Roman"/>
        </w:rPr>
        <w:t>Prüm</w:t>
      </w:r>
      <w:proofErr w:type="spellEnd"/>
      <w:r>
        <w:rPr>
          <w:rFonts w:ascii="Times New Roman" w:hAnsi="Times New Roman" w:cs="Times New Roman"/>
        </w:rPr>
        <w:t xml:space="preserve"> Framework enables the automated exchange of DNA, fingerprint and vehicle registration data between law enforcement authorities. An inception impact assessment has been published.</w:t>
      </w:r>
    </w:p>
  </w:footnote>
  <w:footnote w:id="174">
    <w:p w:rsidR="00872751" w:rsidRDefault="008477BD">
      <w:pPr>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Style w:val="FootnoteReference"/>
          <w:rFonts w:ascii="Times New Roman" w:hAnsi="Times New Roman" w:cs="Times New Roman"/>
          <w:sz w:val="20"/>
          <w:szCs w:val="20"/>
        </w:rPr>
        <w:t xml:space="preserve"> </w:t>
      </w:r>
      <w:r>
        <w:rPr>
          <w:rFonts w:ascii="Times New Roman" w:eastAsia="Calibri" w:hAnsi="Times New Roman" w:cs="Times New Roman"/>
          <w:sz w:val="20"/>
          <w:szCs w:val="20"/>
          <w:lang w:eastAsia="en-IE"/>
        </w:rPr>
        <w:t>The proposed third countries are the following: Algeria, Armenia, Bosnia and Herzegovina, Egypt, Israel, Jordan, Lebanon, Morocco, Tunisia and Turkey, COM (2020) 743 final.</w:t>
      </w:r>
    </w:p>
  </w:footnote>
  <w:footnote w:id="175">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 xml:space="preserve">18 February 2020. </w:t>
      </w:r>
    </w:p>
  </w:footnote>
  <w:footnote w:id="17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Roadmap on the external dimension of the EU policy on Passenger Name Records available at: https://ec.europa.eu/info/law/better-regulation/have-your-say/initiatives/12531-External-dimension-of-the-EU-policy-on-Passenger-Name-Records-</w:t>
      </w:r>
    </w:p>
  </w:footnote>
  <w:footnote w:id="177">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Council Decision (EU) 2019/2107.</w:t>
      </w:r>
    </w:p>
  </w:footnote>
  <w:footnote w:id="178">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Security Council resolution 2396 (2017). </w:t>
      </w:r>
    </w:p>
  </w:footnote>
  <w:footnote w:id="179">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Referred to as Amendment 28 to Annex 9 (Facilitation) of the Convention on International Civil Aviation (the “Chicago Convention”).</w:t>
      </w:r>
    </w:p>
  </w:footnote>
  <w:footnote w:id="18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COM (2020) 609.</w:t>
      </w:r>
    </w:p>
  </w:footnote>
  <w:footnote w:id="181">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SWD(</w:t>
      </w:r>
      <w:proofErr w:type="gramEnd"/>
      <w:r>
        <w:rPr>
          <w:rFonts w:ascii="Times New Roman" w:hAnsi="Times New Roman" w:cs="Times New Roman"/>
        </w:rPr>
        <w:t>2020)327final.</w:t>
      </w:r>
    </w:p>
  </w:footnote>
  <w:footnote w:id="18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Regulation 2019/817 and Regulation (EU) 2019/818.</w:t>
      </w:r>
    </w:p>
  </w:footnote>
  <w:footnote w:id="183">
    <w:p w:rsidR="00872751" w:rsidRDefault="008477BD">
      <w:pPr>
        <w:spacing w:after="0" w:line="240" w:lineRule="auto"/>
        <w:ind w:left="284" w:hanging="284"/>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Style w:val="FootnoteReference"/>
          <w:rFonts w:ascii="Times New Roman" w:hAnsi="Times New Roman" w:cs="Times New Roman"/>
          <w:sz w:val="20"/>
          <w:szCs w:val="20"/>
        </w:rPr>
        <w:t xml:space="preserve"> </w:t>
      </w:r>
      <w:r>
        <w:rPr>
          <w:rFonts w:ascii="Times New Roman" w:hAnsi="Times New Roman" w:cs="Times New Roman"/>
          <w:sz w:val="20"/>
          <w:szCs w:val="20"/>
        </w:rPr>
        <w:tab/>
        <w:t xml:space="preserve">Existing systems: Schengen Information System, (SIS) Visa Information System (VIS), </w:t>
      </w:r>
      <w:proofErr w:type="spellStart"/>
      <w:r>
        <w:rPr>
          <w:rFonts w:ascii="Times New Roman" w:hAnsi="Times New Roman" w:cs="Times New Roman"/>
          <w:sz w:val="20"/>
          <w:szCs w:val="20"/>
        </w:rPr>
        <w:t>Eurodac</w:t>
      </w:r>
      <w:proofErr w:type="spellEnd"/>
      <w:r>
        <w:rPr>
          <w:rFonts w:ascii="Times New Roman" w:hAnsi="Times New Roman" w:cs="Times New Roman"/>
          <w:sz w:val="20"/>
          <w:szCs w:val="20"/>
        </w:rPr>
        <w:t xml:space="preserve"> and future systems: Entry/Exit system, European Travel Information and Authorization System (ETIAS), European Criminal Records Information System for third country nationals (ECRIS-TCN) ETIAS, ECRIS-TCN</w:t>
      </w:r>
      <w:proofErr w:type="gramStart"/>
      <w:r>
        <w:rPr>
          <w:rFonts w:ascii="Times New Roman" w:hAnsi="Times New Roman" w:cs="Times New Roman"/>
          <w:sz w:val="20"/>
          <w:szCs w:val="20"/>
        </w:rPr>
        <w:t>) .</w:t>
      </w:r>
      <w:proofErr w:type="gramEnd"/>
    </w:p>
  </w:footnote>
  <w:footnote w:id="184">
    <w:p w:rsidR="00872751" w:rsidRPr="00310B0A" w:rsidRDefault="008477BD">
      <w:pPr>
        <w:pStyle w:val="FootnoteText"/>
        <w:rPr>
          <w:lang w:val="pt-PT"/>
        </w:rPr>
      </w:pPr>
      <w:r>
        <w:rPr>
          <w:rStyle w:val="FootnoteReference"/>
          <w:rFonts w:ascii="Times New Roman" w:hAnsi="Times New Roman" w:cs="Times New Roman"/>
          <w:lang w:val="en-US"/>
        </w:rPr>
        <w:footnoteRef/>
      </w:r>
      <w:r w:rsidRPr="00310B0A">
        <w:rPr>
          <w:rStyle w:val="FootnoteReference"/>
          <w:rFonts w:ascii="Times New Roman" w:hAnsi="Times New Roman" w:cs="Times New Roman"/>
          <w:lang w:val="pt-PT"/>
        </w:rPr>
        <w:t xml:space="preserve"> </w:t>
      </w:r>
      <w:r w:rsidRPr="00310B0A">
        <w:rPr>
          <w:rFonts w:ascii="Times New Roman" w:hAnsi="Times New Roman" w:cs="Times New Roman"/>
          <w:lang w:val="pt-PT"/>
        </w:rPr>
        <w:t>COM(2019)12</w:t>
      </w:r>
    </w:p>
  </w:footnote>
  <w:footnote w:id="185">
    <w:p w:rsidR="00872751" w:rsidRPr="00310B0A" w:rsidRDefault="008477BD">
      <w:pPr>
        <w:pStyle w:val="FootnoteText"/>
        <w:ind w:left="284" w:hanging="284"/>
        <w:jc w:val="both"/>
        <w:rPr>
          <w:rFonts w:ascii="Times New Roman" w:hAnsi="Times New Roman" w:cs="Times New Roman"/>
          <w:lang w:val="pt-PT"/>
        </w:rPr>
      </w:pPr>
      <w:r>
        <w:rPr>
          <w:rStyle w:val="FootnoteReference"/>
          <w:rFonts w:ascii="Times New Roman" w:hAnsi="Times New Roman" w:cs="Times New Roman"/>
          <w:lang w:val="en-US"/>
        </w:rPr>
        <w:footnoteRef/>
      </w:r>
      <w:r w:rsidRPr="00310B0A">
        <w:rPr>
          <w:rStyle w:val="FootnoteReference"/>
          <w:rFonts w:ascii="Times New Roman" w:hAnsi="Times New Roman" w:cs="Times New Roman"/>
          <w:lang w:val="pt-PT"/>
        </w:rPr>
        <w:t xml:space="preserve"> </w:t>
      </w:r>
      <w:r w:rsidRPr="00310B0A">
        <w:rPr>
          <w:rFonts w:ascii="Times New Roman" w:hAnsi="Times New Roman" w:cs="Times New Roman"/>
          <w:lang w:val="pt-PT"/>
        </w:rPr>
        <w:tab/>
      </w:r>
      <w:r w:rsidRPr="00310B0A">
        <w:rPr>
          <w:rFonts w:ascii="Times New Roman" w:hAnsi="Times New Roman" w:cs="Times New Roman"/>
          <w:lang w:val="pt-PT"/>
        </w:rPr>
        <w:t xml:space="preserve">COM(2019) </w:t>
      </w:r>
      <w:r w:rsidRPr="00310B0A">
        <w:rPr>
          <w:rFonts w:ascii="Times New Roman" w:hAnsi="Times New Roman" w:cs="Times New Roman"/>
          <w:lang w:val="pt-PT"/>
        </w:rPr>
        <w:t>3 final and COM(2019) 4 final.</w:t>
      </w:r>
    </w:p>
  </w:footnote>
  <w:footnote w:id="18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Regulation (EU) 2018/1240 and Regulation (EU) 2018/1241.</w:t>
      </w:r>
    </w:p>
  </w:footnote>
  <w:footnote w:id="187">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2020) 581.</w:t>
      </w:r>
    </w:p>
  </w:footnote>
  <w:footnote w:id="188">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eastAsia="Times New Roman" w:hAnsi="Times New Roman" w:cs="Times New Roman"/>
          <w:color w:val="0070C0"/>
        </w:rPr>
        <w:t xml:space="preserve"> </w:t>
      </w:r>
      <w:r>
        <w:rPr>
          <w:rFonts w:ascii="Times New Roman" w:eastAsia="Times New Roman" w:hAnsi="Times New Roman" w:cs="Times New Roman"/>
          <w:color w:val="0070C0"/>
        </w:rPr>
        <w:tab/>
      </w:r>
      <w:r>
        <w:rPr>
          <w:rFonts w:ascii="Times New Roman" w:hAnsi="Times New Roman" w:cs="Times New Roman"/>
        </w:rPr>
        <w:t>System of advance cargo information used for early security risk assessment of all goods movements crossing the external border.</w:t>
      </w:r>
    </w:p>
  </w:footnote>
  <w:footnote w:id="189">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Regulation 2019/1896.</w:t>
      </w:r>
    </w:p>
  </w:footnote>
  <w:footnote w:id="190">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Style w:val="FootnoteReference"/>
          <w:rFonts w:ascii="Times New Roman" w:hAnsi="Times New Roman" w:cs="Times New Roman"/>
        </w:rPr>
        <w:t xml:space="preserve"> </w:t>
      </w:r>
      <w:r>
        <w:rPr>
          <w:rFonts w:ascii="Times New Roman" w:hAnsi="Times New Roman" w:cs="Times New Roman"/>
        </w:rPr>
        <w:tab/>
        <w:t>Regulation 2019/1157.</w:t>
      </w:r>
    </w:p>
  </w:footnote>
  <w:footnote w:id="191">
    <w:p w:rsidR="00872751" w:rsidRDefault="008477BD">
      <w:pPr>
        <w:pStyle w:val="FootnoteText"/>
        <w:ind w:left="284" w:hanging="284"/>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The EU has allocated funding of around €91 million for projects enhancing the protection of infrastructures, including combined cyber and physical threats, improved and fast response to incidents, and better information sharing.</w:t>
      </w:r>
    </w:p>
  </w:footnote>
  <w:footnote w:id="192">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Under Horizon Europe, Cluster 3 will support in particular the Commission policy priority ‘Promoting our European way of life’, as well as ‘European Green Deal’ and ‘Europe fit for the digital age’.</w:t>
      </w:r>
    </w:p>
  </w:footnote>
  <w:footnote w:id="193">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 xml:space="preserve">Horizon 2020 actions supporting the pandemic response can be found at:  https://www.researchgate.net/publication/341287556. </w:t>
      </w:r>
    </w:p>
  </w:footnote>
  <w:footnote w:id="194">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On 21 February 2020, the Standing Committee on Operational Cooperation on Internal Security confirmed the mission statement, main features, tasks and governance of the EU innovation hub for internal Security.   </w:t>
      </w:r>
    </w:p>
  </w:footnote>
  <w:footnote w:id="195">
    <w:p w:rsidR="00872751" w:rsidRDefault="008477BD">
      <w:pPr>
        <w:autoSpaceDE w:val="0"/>
        <w:autoSpaceDN w:val="0"/>
        <w:adjustRightInd w:val="0"/>
        <w:spacing w:after="0" w:line="240" w:lineRule="auto"/>
        <w:ind w:left="284" w:hanging="284"/>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Style w:val="FootnoteReference"/>
          <w:rFonts w:ascii="Times New Roman" w:hAnsi="Times New Roman" w:cs="Times New Roman"/>
          <w:sz w:val="20"/>
          <w:szCs w:val="20"/>
        </w:rPr>
        <w:t xml:space="preserve"> </w:t>
      </w:r>
      <w:r>
        <w:rPr>
          <w:rFonts w:ascii="Times New Roman" w:hAnsi="Times New Roman" w:cs="Times New Roman"/>
          <w:sz w:val="20"/>
          <w:szCs w:val="20"/>
        </w:rPr>
        <w:tab/>
        <w:t xml:space="preserve">European Union Strategic Training Needs Assessment 2018-2021, </w:t>
      </w:r>
      <w:hyperlink r:id="rId22" w:history="1">
        <w:r>
          <w:rPr>
            <w:rStyle w:val="Hyperlink"/>
            <w:rFonts w:ascii="Times New Roman" w:hAnsi="Times New Roman" w:cs="Times New Roman"/>
            <w:sz w:val="20"/>
            <w:szCs w:val="20"/>
          </w:rPr>
          <w:t>EU-STNA report</w:t>
        </w:r>
      </w:hyperlink>
      <w:r>
        <w:rPr>
          <w:rFonts w:ascii="Times New Roman" w:hAnsi="Times New Roman" w:cs="Times New Roman"/>
          <w:sz w:val="20"/>
          <w:szCs w:val="20"/>
        </w:rPr>
        <w:t>, CEPOL.</w:t>
      </w:r>
    </w:p>
  </w:footnote>
  <w:footnote w:id="19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lang w:val="en-US"/>
        </w:rPr>
        <w:footnoteRef/>
      </w:r>
      <w:r>
        <w:rPr>
          <w:rStyle w:val="FootnoteReference"/>
          <w:rFonts w:ascii="Times New Roman" w:hAnsi="Times New Roman" w:cs="Times New Roman"/>
          <w:lang w:val="en-US"/>
        </w:rPr>
        <w:t xml:space="preserve"> </w:t>
      </w:r>
      <w:r>
        <w:rPr>
          <w:rFonts w:ascii="Times New Roman" w:hAnsi="Times New Roman" w:cs="Times New Roman"/>
          <w:lang w:val="en-US"/>
        </w:rPr>
        <w:t>https://www.nomoreransom.org/.</w:t>
      </w:r>
    </w:p>
  </w:footnote>
  <w:footnote w:id="197">
    <w:p w:rsidR="00872751" w:rsidRDefault="008477BD">
      <w:pPr>
        <w:pStyle w:val="FootnoteText"/>
        <w:ind w:left="284" w:hanging="284"/>
        <w:jc w:val="both"/>
        <w:rPr>
          <w:rFonts w:ascii="Times New Roman" w:hAnsi="Times New Roman" w:cs="Times New Roman"/>
          <w:lang w:val="en-IE"/>
        </w:rPr>
      </w:pPr>
      <w:r>
        <w:rPr>
          <w:rStyle w:val="FootnoteReference"/>
          <w:rFonts w:ascii="Times New Roman" w:hAnsi="Times New Roman" w:cs="Times New Roman"/>
          <w:lang w:val="en-US"/>
        </w:rPr>
        <w:footnoteRef/>
      </w:r>
      <w:r>
        <w:rPr>
          <w:rStyle w:val="FootnoteReference"/>
          <w:rFonts w:ascii="Times New Roman" w:hAnsi="Times New Roman" w:cs="Times New Roman"/>
          <w:lang w:val="en-US"/>
        </w:rPr>
        <w:t xml:space="preserve"> </w:t>
      </w:r>
      <w:proofErr w:type="gramStart"/>
      <w:r>
        <w:rPr>
          <w:rFonts w:ascii="Times New Roman" w:hAnsi="Times New Roman" w:cs="Times New Roman"/>
          <w:lang w:val="en-US"/>
        </w:rPr>
        <w:t>COM(</w:t>
      </w:r>
      <w:proofErr w:type="gramEnd"/>
      <w:r>
        <w:rPr>
          <w:rFonts w:ascii="Times New Roman" w:hAnsi="Times New Roman" w:cs="Times New Roman"/>
          <w:lang w:val="en-US"/>
        </w:rPr>
        <w:t xml:space="preserve">2020)274. </w:t>
      </w:r>
    </w:p>
  </w:footnote>
  <w:footnote w:id="198">
    <w:p w:rsidR="00872751" w:rsidRDefault="008477BD">
      <w:pPr>
        <w:pStyle w:val="FootnoteText"/>
        <w:ind w:left="284" w:hanging="284"/>
        <w:jc w:val="both"/>
        <w:rPr>
          <w:rFonts w:ascii="Times New Roman" w:hAnsi="Times New Roman" w:cs="Times New Roman"/>
        </w:rPr>
      </w:pPr>
      <w:r>
        <w:rPr>
          <w:rStyle w:val="FootnoteReference"/>
          <w:rFonts w:ascii="Times New Roman" w:eastAsiaTheme="minorEastAsia" w:hAnsi="Times New Roman" w:cs="Times New Roman"/>
        </w:rPr>
        <w:footnoteRef/>
      </w:r>
      <w:r>
        <w:rPr>
          <w:rStyle w:val="FootnoteReference"/>
          <w:rFonts w:ascii="Times New Roman" w:eastAsiaTheme="minorEastAsia" w:hAnsi="Times New Roman" w:cs="Times New Roman"/>
        </w:rPr>
        <w:t xml:space="preserve"> </w:t>
      </w:r>
      <w:proofErr w:type="gramStart"/>
      <w:r>
        <w:rPr>
          <w:rFonts w:ascii="Times New Roman" w:hAnsi="Times New Roman" w:cs="Times New Roman"/>
          <w:color w:val="000000"/>
          <w:shd w:val="clear" w:color="auto" w:fill="FFFFFF"/>
        </w:rPr>
        <w:t>COM(</w:t>
      </w:r>
      <w:proofErr w:type="gramEnd"/>
      <w:r>
        <w:rPr>
          <w:rFonts w:ascii="Times New Roman" w:hAnsi="Times New Roman" w:cs="Times New Roman"/>
          <w:color w:val="000000"/>
          <w:shd w:val="clear" w:color="auto" w:fill="FFFFFF"/>
        </w:rPr>
        <w:t>2020)624.</w:t>
      </w:r>
    </w:p>
  </w:footnote>
  <w:footnote w:id="199">
    <w:p w:rsidR="00872751" w:rsidRDefault="008477BD">
      <w:pPr>
        <w:pStyle w:val="FootnoteText"/>
        <w:ind w:left="284" w:hanging="284"/>
        <w:jc w:val="both"/>
        <w:rPr>
          <w:rFonts w:ascii="Times New Roman" w:hAnsi="Times New Roman" w:cs="Times New Roman"/>
        </w:rPr>
      </w:pPr>
      <w:r>
        <w:rPr>
          <w:rStyle w:val="FootnoteReference"/>
          <w:rFonts w:ascii="Times New Roman" w:eastAsiaTheme="minorEastAsia" w:hAnsi="Times New Roman" w:cs="Times New Roman"/>
        </w:rPr>
        <w:footnoteRef/>
      </w:r>
      <w:r>
        <w:rPr>
          <w:rStyle w:val="FootnoteReference"/>
          <w:rFonts w:ascii="Times New Roman" w:eastAsiaTheme="minorEastAsia" w:hAnsi="Times New Roman" w:cs="Times New Roman"/>
        </w:rPr>
        <w:t xml:space="preserve"> </w:t>
      </w:r>
      <w:r>
        <w:rPr>
          <w:rFonts w:ascii="Times New Roman" w:eastAsiaTheme="minorEastAsia" w:hAnsi="Times New Roman" w:cs="Times New Roman"/>
        </w:rPr>
        <w:tab/>
        <w:t xml:space="preserve">https://ec.europa.eu/education/sites/education/files/document-library-docs/deap-communication-sept2020_en.pdf. </w:t>
      </w:r>
    </w:p>
  </w:footnote>
  <w:footnote w:id="200">
    <w:p w:rsidR="00872751" w:rsidRDefault="008477BD">
      <w:pPr>
        <w:pStyle w:val="FootnoteText"/>
        <w:ind w:left="284" w:hanging="284"/>
        <w:jc w:val="both"/>
        <w:rPr>
          <w:rFonts w:ascii="Times New Roman" w:hAnsi="Times New Roman" w:cs="Times New Roman"/>
        </w:rPr>
      </w:pPr>
      <w:r>
        <w:rPr>
          <w:rStyle w:val="FootnoteReference"/>
          <w:rFonts w:ascii="Times New Roman" w:eastAsiaTheme="minorEastAsia" w:hAnsi="Times New Roman" w:cs="Times New Roman"/>
        </w:rPr>
        <w:footnoteRef/>
      </w:r>
      <w:r>
        <w:rPr>
          <w:rStyle w:val="FootnoteReference"/>
          <w:rFonts w:ascii="Times New Roman" w:eastAsiaTheme="minorEastAsia" w:hAnsi="Times New Roman" w:cs="Times New Roman"/>
        </w:rPr>
        <w:t xml:space="preserve"> </w:t>
      </w:r>
      <w:r>
        <w:rPr>
          <w:rFonts w:ascii="Times New Roman" w:eastAsiaTheme="minorEastAsia"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2020) 625.</w:t>
      </w:r>
    </w:p>
  </w:footnote>
  <w:footnote w:id="201">
    <w:p w:rsidR="00872751" w:rsidRDefault="008477BD">
      <w:pPr>
        <w:pStyle w:val="FootnoteText"/>
        <w:ind w:left="284" w:hanging="284"/>
        <w:jc w:val="both"/>
        <w:rPr>
          <w:rFonts w:ascii="Times New Roman" w:hAnsi="Times New Roman" w:cs="Times New Roman"/>
        </w:rPr>
      </w:pPr>
      <w:r>
        <w:rPr>
          <w:rStyle w:val="FootnoteReference"/>
          <w:rFonts w:ascii="Times New Roman" w:eastAsiaTheme="minorEastAsia" w:hAnsi="Times New Roman" w:cs="Times New Roman"/>
        </w:rPr>
        <w:footnoteRef/>
      </w:r>
      <w:r>
        <w:rPr>
          <w:rStyle w:val="FootnoteReference"/>
          <w:rFonts w:ascii="Times New Roman" w:eastAsiaTheme="minorEastAsia" w:hAnsi="Times New Roman" w:cs="Times New Roman"/>
        </w:rPr>
        <w:t xml:space="preserve"> </w:t>
      </w:r>
      <w:r>
        <w:rPr>
          <w:rFonts w:ascii="Times New Roman" w:eastAsiaTheme="minorEastAsia" w:hAnsi="Times New Roman" w:cs="Times New Roman"/>
        </w:rPr>
        <w:tab/>
      </w:r>
      <w:proofErr w:type="gramStart"/>
      <w:r>
        <w:rPr>
          <w:rFonts w:ascii="Times New Roman" w:hAnsi="Times New Roman" w:cs="Times New Roman"/>
        </w:rPr>
        <w:t>COM(</w:t>
      </w:r>
      <w:proofErr w:type="gramEnd"/>
      <w:r>
        <w:rPr>
          <w:rFonts w:ascii="Times New Roman" w:hAnsi="Times New Roman" w:cs="Times New Roman"/>
        </w:rPr>
        <w:t>2020) 628.</w:t>
      </w:r>
    </w:p>
  </w:footnote>
  <w:footnote w:id="202">
    <w:p w:rsidR="00872751" w:rsidRDefault="008477BD">
      <w:pPr>
        <w:pStyle w:val="FootnoteText"/>
        <w:ind w:left="284" w:hanging="284"/>
        <w:jc w:val="both"/>
        <w:rPr>
          <w:rFonts w:ascii="Times New Roman" w:hAnsi="Times New Roman" w:cs="Times New Roman"/>
        </w:rPr>
      </w:pPr>
      <w:r>
        <w:rPr>
          <w:rStyle w:val="FootnoteReference"/>
          <w:rFonts w:ascii="Times New Roman" w:eastAsiaTheme="minorEastAsia" w:hAnsi="Times New Roman" w:cs="Times New Roman"/>
        </w:rPr>
        <w:footnoteRef/>
      </w:r>
      <w:r>
        <w:rPr>
          <w:rStyle w:val="FootnoteReference"/>
          <w:rFonts w:ascii="Times New Roman" w:eastAsiaTheme="minorEastAsia" w:hAnsi="Times New Roman" w:cs="Times New Roman"/>
        </w:rPr>
        <w:t xml:space="preserve"> </w:t>
      </w:r>
      <w:r>
        <w:rPr>
          <w:rFonts w:ascii="Times New Roman" w:eastAsiaTheme="minorEastAsia" w:hAnsi="Times New Roman" w:cs="Times New Roman"/>
        </w:rPr>
        <w:t>`</w:t>
      </w:r>
      <w:r>
        <w:rPr>
          <w:rFonts w:ascii="Times New Roman" w:hAnsi="Times New Roman" w:cs="Times New Roman"/>
        </w:rPr>
        <w:t>So far, around 80 projects have been financed covering issues related to radicalisation; more than a hundred projects concerning how to prevent and combat cyber-bullying and more than a hundred around education for a critical and ethic use of Internet with a view to tacking online disinformation.</w:t>
      </w:r>
    </w:p>
  </w:footnote>
  <w:footnote w:id="203">
    <w:p w:rsidR="00872751" w:rsidRDefault="008477BD">
      <w:pPr>
        <w:pStyle w:val="FootnoteText"/>
        <w:ind w:left="284" w:hanging="284"/>
        <w:jc w:val="both"/>
        <w:rPr>
          <w:rFonts w:ascii="Times New Roman" w:hAnsi="Times New Roman" w:cs="Times New Roman"/>
        </w:rPr>
      </w:pPr>
      <w:r>
        <w:rPr>
          <w:rStyle w:val="FootnoteReference"/>
          <w:rFonts w:ascii="Times New Roman" w:eastAsiaTheme="minorEastAsia" w:hAnsi="Times New Roman" w:cs="Times New Roman"/>
        </w:rPr>
        <w:footnoteRef/>
      </w:r>
      <w:r>
        <w:rPr>
          <w:rStyle w:val="FootnoteReference"/>
          <w:rFonts w:ascii="Times New Roman" w:eastAsiaTheme="minorEastAsia" w:hAnsi="Times New Roman" w:cs="Times New Roman"/>
        </w:rPr>
        <w:t xml:space="preserve"> </w:t>
      </w:r>
      <w:r>
        <w:rPr>
          <w:rFonts w:ascii="Times New Roman" w:eastAsiaTheme="minorEastAsia" w:hAnsi="Times New Roman" w:cs="Times New Roman"/>
        </w:rPr>
        <w:t xml:space="preserve"> </w:t>
      </w:r>
      <w:hyperlink r:id="rId23" w:tgtFrame="_blank" w:history="1">
        <w:r>
          <w:rPr>
            <w:rFonts w:ascii="Times New Roman" w:hAnsi="Times New Roman" w:cs="Times New Roman"/>
            <w:color w:val="18A0C7"/>
            <w:u w:val="single"/>
          </w:rPr>
          <w:t>http://www.r2pris.org/</w:t>
        </w:r>
      </w:hyperlink>
      <w:r>
        <w:rPr>
          <w:rFonts w:ascii="Times New Roman" w:hAnsi="Times New Roman" w:cs="Times New Roman"/>
          <w:color w:val="18A0C7"/>
          <w:u w:val="single"/>
        </w:rPr>
        <w:t>.</w:t>
      </w:r>
    </w:p>
  </w:footnote>
  <w:footnote w:id="204">
    <w:p w:rsidR="00872751" w:rsidRDefault="008477BD">
      <w:pPr>
        <w:pStyle w:val="FootnoteText"/>
        <w:ind w:left="284" w:hanging="284"/>
        <w:jc w:val="both"/>
        <w:rPr>
          <w:rFonts w:ascii="Times New Roman" w:eastAsiaTheme="minorEastAsia" w:hAnsi="Times New Roman" w:cs="Times New Roman"/>
        </w:rPr>
      </w:pPr>
      <w:r>
        <w:rPr>
          <w:rStyle w:val="FootnoteReference"/>
          <w:rFonts w:ascii="Times New Roman" w:eastAsiaTheme="minorEastAsia" w:hAnsi="Times New Roman" w:cs="Times New Roman"/>
        </w:rPr>
        <w:footnoteRef/>
      </w:r>
      <w:r>
        <w:rPr>
          <w:rStyle w:val="FootnoteReference"/>
          <w:rFonts w:ascii="Times New Roman" w:eastAsiaTheme="minorEastAsia" w:hAnsi="Times New Roman" w:cs="Times New Roman"/>
        </w:rPr>
        <w:t xml:space="preserve"> </w:t>
      </w:r>
      <w:r>
        <w:rPr>
          <w:rFonts w:ascii="Times New Roman" w:eastAsiaTheme="minorEastAsia" w:hAnsi="Times New Roman" w:cs="Times New Roman"/>
        </w:rPr>
        <w:tab/>
      </w:r>
      <w:r>
        <w:rPr>
          <w:rFonts w:ascii="Times New Roman" w:hAnsi="Times New Roman" w:cs="Times New Roman"/>
        </w:rPr>
        <w:t>https://ec.europa.eu/info/strategy/priorities-2019-2024/promoting-our-european-way-life/european-security-union-strategy_en.</w:t>
      </w:r>
    </w:p>
  </w:footnote>
  <w:footnote w:id="205">
    <w:p w:rsidR="00872751" w:rsidRDefault="008477BD">
      <w:pPr>
        <w:pStyle w:val="emission"/>
        <w:spacing w:before="0" w:beforeAutospacing="0" w:after="0" w:afterAutospacing="0"/>
        <w:ind w:left="284" w:hanging="284"/>
        <w:jc w:val="both"/>
        <w:rPr>
          <w:sz w:val="20"/>
          <w:szCs w:val="20"/>
        </w:rPr>
      </w:pPr>
      <w:r>
        <w:rPr>
          <w:rStyle w:val="FootnoteReference"/>
          <w:rFonts w:eastAsiaTheme="minorEastAsia"/>
          <w:sz w:val="20"/>
          <w:szCs w:val="20"/>
          <w:lang w:eastAsia="en-US"/>
        </w:rPr>
        <w:footnoteRef/>
      </w:r>
      <w:r>
        <w:rPr>
          <w:sz w:val="20"/>
          <w:szCs w:val="20"/>
        </w:rPr>
        <w:t xml:space="preserve"> </w:t>
      </w:r>
      <w:proofErr w:type="gramStart"/>
      <w:r>
        <w:rPr>
          <w:rFonts w:eastAsiaTheme="minorEastAsia"/>
          <w:sz w:val="20"/>
          <w:szCs w:val="20"/>
          <w:lang w:eastAsia="en-US"/>
        </w:rPr>
        <w:t>COM(</w:t>
      </w:r>
      <w:proofErr w:type="gramEnd"/>
      <w:r>
        <w:rPr>
          <w:rFonts w:eastAsiaTheme="minorEastAsia"/>
          <w:sz w:val="20"/>
          <w:szCs w:val="20"/>
          <w:lang w:eastAsia="en-US"/>
        </w:rPr>
        <w:t>2020) 258.</w:t>
      </w:r>
    </w:p>
  </w:footnote>
  <w:footnote w:id="206">
    <w:p w:rsidR="00872751" w:rsidRDefault="008477BD">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platform will bring together for the first time the main EU level actors including the European Network on Victims’ Rights, the EU Network of national contact points for compensation, the EU Counterterrorism Coordinator, relevant agencies such as Eurojust, the Fundamental Rights Agency, the European Union Agency for Law Enforcement Training, the European Institute for Gender Equality, and civil society.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B0A" w:rsidRPr="009D1084" w:rsidRDefault="00310B0A" w:rsidP="009D10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B0A" w:rsidRPr="009D1084" w:rsidRDefault="00310B0A" w:rsidP="009D108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10B0A" w:rsidRPr="009D1084" w:rsidRDefault="00310B0A" w:rsidP="009D108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751" w:rsidRDefault="0087275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751" w:rsidRDefault="0087275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2751" w:rsidRDefault="008727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A5A87"/>
    <w:multiLevelType w:val="hybridMultilevel"/>
    <w:tmpl w:val="DE72612A"/>
    <w:lvl w:ilvl="0" w:tplc="DA9AF9E8">
      <w:start w:val="3"/>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0D14619"/>
    <w:multiLevelType w:val="hybridMultilevel"/>
    <w:tmpl w:val="AFD4F3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8B6175"/>
    <w:multiLevelType w:val="hybridMultilevel"/>
    <w:tmpl w:val="7C625B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96626"/>
    <w:multiLevelType w:val="hybridMultilevel"/>
    <w:tmpl w:val="32984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0F521A"/>
    <w:multiLevelType w:val="multilevel"/>
    <w:tmpl w:val="05FE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914297"/>
    <w:multiLevelType w:val="hybridMultilevel"/>
    <w:tmpl w:val="C5A29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05C5F"/>
    <w:multiLevelType w:val="hybridMultilevel"/>
    <w:tmpl w:val="01F2E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748B4"/>
    <w:multiLevelType w:val="hybridMultilevel"/>
    <w:tmpl w:val="C060C5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D97130"/>
    <w:multiLevelType w:val="hybridMultilevel"/>
    <w:tmpl w:val="F74828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CCB158F"/>
    <w:multiLevelType w:val="hybridMultilevel"/>
    <w:tmpl w:val="5A7C9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1E185A"/>
    <w:multiLevelType w:val="hybridMultilevel"/>
    <w:tmpl w:val="DC7051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EF80B04"/>
    <w:multiLevelType w:val="multilevel"/>
    <w:tmpl w:val="ABBA9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371EDB"/>
    <w:multiLevelType w:val="hybridMultilevel"/>
    <w:tmpl w:val="437A2DE6"/>
    <w:lvl w:ilvl="0" w:tplc="F28CAA6A">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3B0EBF"/>
    <w:multiLevelType w:val="hybridMultilevel"/>
    <w:tmpl w:val="D2B898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7BD0D7D"/>
    <w:multiLevelType w:val="hybridMultilevel"/>
    <w:tmpl w:val="6E4A6F98"/>
    <w:lvl w:ilvl="0" w:tplc="F4864AE4">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7C0F5C"/>
    <w:multiLevelType w:val="hybridMultilevel"/>
    <w:tmpl w:val="46EC28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C112077"/>
    <w:multiLevelType w:val="hybridMultilevel"/>
    <w:tmpl w:val="2084BE9A"/>
    <w:lvl w:ilvl="0" w:tplc="6C6ABC2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1367DD"/>
    <w:multiLevelType w:val="hybridMultilevel"/>
    <w:tmpl w:val="6E38B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6F745ED"/>
    <w:multiLevelType w:val="hybridMultilevel"/>
    <w:tmpl w:val="EB7CB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767B6B"/>
    <w:multiLevelType w:val="hybridMultilevel"/>
    <w:tmpl w:val="1A7C81C2"/>
    <w:lvl w:ilvl="0" w:tplc="94DADA6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5A4796"/>
    <w:multiLevelType w:val="hybridMultilevel"/>
    <w:tmpl w:val="F09AFFD8"/>
    <w:lvl w:ilvl="0" w:tplc="9C5032CA">
      <w:start w:val="4"/>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568508B"/>
    <w:multiLevelType w:val="hybridMultilevel"/>
    <w:tmpl w:val="5D0897B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0963CC"/>
    <w:multiLevelType w:val="hybridMultilevel"/>
    <w:tmpl w:val="961AF526"/>
    <w:lvl w:ilvl="0" w:tplc="08090003">
      <w:start w:val="1"/>
      <w:numFmt w:val="bullet"/>
      <w:lvlText w:val="o"/>
      <w:lvlJc w:val="left"/>
      <w:pPr>
        <w:ind w:left="786" w:hanging="360"/>
      </w:pPr>
      <w:rPr>
        <w:rFonts w:ascii="Courier New" w:hAnsi="Courier New" w:cs="Courier New"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3" w15:restartNumberingAfterBreak="0">
    <w:nsid w:val="57ED6903"/>
    <w:multiLevelType w:val="hybridMultilevel"/>
    <w:tmpl w:val="E2B6036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5C102DD1"/>
    <w:multiLevelType w:val="hybridMultilevel"/>
    <w:tmpl w:val="D6287C5A"/>
    <w:lvl w:ilvl="0" w:tplc="43F208BE">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55422C7"/>
    <w:multiLevelType w:val="hybridMultilevel"/>
    <w:tmpl w:val="D354FC5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6BA437D"/>
    <w:multiLevelType w:val="hybridMultilevel"/>
    <w:tmpl w:val="B0FA00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70C71E2"/>
    <w:multiLevelType w:val="hybridMultilevel"/>
    <w:tmpl w:val="8A962CF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D76125"/>
    <w:multiLevelType w:val="hybridMultilevel"/>
    <w:tmpl w:val="938E1D44"/>
    <w:lvl w:ilvl="0" w:tplc="658AE30A">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C664174"/>
    <w:multiLevelType w:val="multilevel"/>
    <w:tmpl w:val="8C32C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C644B6"/>
    <w:multiLevelType w:val="hybridMultilevel"/>
    <w:tmpl w:val="E736BA0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9125D3"/>
    <w:multiLevelType w:val="hybridMultilevel"/>
    <w:tmpl w:val="BD4A6B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E020F34"/>
    <w:multiLevelType w:val="hybridMultilevel"/>
    <w:tmpl w:val="5B322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E046AE6"/>
    <w:multiLevelType w:val="hybridMultilevel"/>
    <w:tmpl w:val="F8AC5F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F6416CA"/>
    <w:multiLevelType w:val="hybridMultilevel"/>
    <w:tmpl w:val="DDB297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0274E98"/>
    <w:multiLevelType w:val="hybridMultilevel"/>
    <w:tmpl w:val="BCAEF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5B269B"/>
    <w:multiLevelType w:val="hybridMultilevel"/>
    <w:tmpl w:val="03A8A49E"/>
    <w:lvl w:ilvl="0" w:tplc="E4204254">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1C31E68"/>
    <w:multiLevelType w:val="hybridMultilevel"/>
    <w:tmpl w:val="62F86226"/>
    <w:lvl w:ilvl="0" w:tplc="D786CBD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1E52FB5"/>
    <w:multiLevelType w:val="hybridMultilevel"/>
    <w:tmpl w:val="142C58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4E96021"/>
    <w:multiLevelType w:val="hybridMultilevel"/>
    <w:tmpl w:val="C17072B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20" w:hanging="360"/>
      </w:pPr>
    </w:lvl>
    <w:lvl w:ilvl="2" w:tplc="0809001B" w:tentative="1">
      <w:start w:val="1"/>
      <w:numFmt w:val="lowerRoman"/>
      <w:lvlText w:val="%3."/>
      <w:lvlJc w:val="right"/>
      <w:pPr>
        <w:ind w:left="600" w:hanging="180"/>
      </w:pPr>
    </w:lvl>
    <w:lvl w:ilvl="3" w:tplc="0809000F" w:tentative="1">
      <w:start w:val="1"/>
      <w:numFmt w:val="decimal"/>
      <w:lvlText w:val="%4."/>
      <w:lvlJc w:val="left"/>
      <w:pPr>
        <w:ind w:left="1320" w:hanging="360"/>
      </w:pPr>
    </w:lvl>
    <w:lvl w:ilvl="4" w:tplc="08090019" w:tentative="1">
      <w:start w:val="1"/>
      <w:numFmt w:val="lowerLetter"/>
      <w:lvlText w:val="%5."/>
      <w:lvlJc w:val="left"/>
      <w:pPr>
        <w:ind w:left="2040" w:hanging="360"/>
      </w:pPr>
    </w:lvl>
    <w:lvl w:ilvl="5" w:tplc="0809001B" w:tentative="1">
      <w:start w:val="1"/>
      <w:numFmt w:val="lowerRoman"/>
      <w:lvlText w:val="%6."/>
      <w:lvlJc w:val="right"/>
      <w:pPr>
        <w:ind w:left="2760" w:hanging="180"/>
      </w:pPr>
    </w:lvl>
    <w:lvl w:ilvl="6" w:tplc="0809000F" w:tentative="1">
      <w:start w:val="1"/>
      <w:numFmt w:val="decimal"/>
      <w:lvlText w:val="%7."/>
      <w:lvlJc w:val="left"/>
      <w:pPr>
        <w:ind w:left="3480" w:hanging="360"/>
      </w:pPr>
    </w:lvl>
    <w:lvl w:ilvl="7" w:tplc="08090019" w:tentative="1">
      <w:start w:val="1"/>
      <w:numFmt w:val="lowerLetter"/>
      <w:lvlText w:val="%8."/>
      <w:lvlJc w:val="left"/>
      <w:pPr>
        <w:ind w:left="4200" w:hanging="360"/>
      </w:pPr>
    </w:lvl>
    <w:lvl w:ilvl="8" w:tplc="0809001B" w:tentative="1">
      <w:start w:val="1"/>
      <w:numFmt w:val="lowerRoman"/>
      <w:lvlText w:val="%9."/>
      <w:lvlJc w:val="right"/>
      <w:pPr>
        <w:ind w:left="4920" w:hanging="180"/>
      </w:pPr>
    </w:lvl>
  </w:abstractNum>
  <w:abstractNum w:abstractNumId="40" w15:restartNumberingAfterBreak="0">
    <w:nsid w:val="769A3A3E"/>
    <w:multiLevelType w:val="hybridMultilevel"/>
    <w:tmpl w:val="904E88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3414EA"/>
    <w:multiLevelType w:val="hybridMultilevel"/>
    <w:tmpl w:val="92A41030"/>
    <w:lvl w:ilvl="0" w:tplc="AF9471E4">
      <w:start w:val="4"/>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E92BAE"/>
    <w:multiLevelType w:val="hybridMultilevel"/>
    <w:tmpl w:val="C6788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D864D52"/>
    <w:multiLevelType w:val="multilevel"/>
    <w:tmpl w:val="18168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39"/>
  </w:num>
  <w:num w:numId="3">
    <w:abstractNumId w:val="32"/>
  </w:num>
  <w:num w:numId="4">
    <w:abstractNumId w:val="9"/>
  </w:num>
  <w:num w:numId="5">
    <w:abstractNumId w:val="7"/>
  </w:num>
  <w:num w:numId="6">
    <w:abstractNumId w:val="17"/>
  </w:num>
  <w:num w:numId="7">
    <w:abstractNumId w:val="13"/>
  </w:num>
  <w:num w:numId="8">
    <w:abstractNumId w:val="30"/>
  </w:num>
  <w:num w:numId="9">
    <w:abstractNumId w:val="27"/>
  </w:num>
  <w:num w:numId="10">
    <w:abstractNumId w:val="14"/>
  </w:num>
  <w:num w:numId="11">
    <w:abstractNumId w:val="8"/>
  </w:num>
  <w:num w:numId="12">
    <w:abstractNumId w:val="41"/>
  </w:num>
  <w:num w:numId="13">
    <w:abstractNumId w:val="18"/>
  </w:num>
  <w:num w:numId="14">
    <w:abstractNumId w:val="34"/>
  </w:num>
  <w:num w:numId="15">
    <w:abstractNumId w:val="1"/>
  </w:num>
  <w:num w:numId="16">
    <w:abstractNumId w:val="31"/>
  </w:num>
  <w:num w:numId="17">
    <w:abstractNumId w:val="2"/>
  </w:num>
  <w:num w:numId="18">
    <w:abstractNumId w:val="21"/>
  </w:num>
  <w:num w:numId="19">
    <w:abstractNumId w:val="25"/>
  </w:num>
  <w:num w:numId="20">
    <w:abstractNumId w:val="29"/>
  </w:num>
  <w:num w:numId="21">
    <w:abstractNumId w:val="23"/>
  </w:num>
  <w:num w:numId="22">
    <w:abstractNumId w:val="38"/>
  </w:num>
  <w:num w:numId="23">
    <w:abstractNumId w:val="37"/>
  </w:num>
  <w:num w:numId="24">
    <w:abstractNumId w:val="20"/>
  </w:num>
  <w:num w:numId="25">
    <w:abstractNumId w:val="0"/>
  </w:num>
  <w:num w:numId="26">
    <w:abstractNumId w:val="33"/>
  </w:num>
  <w:num w:numId="27">
    <w:abstractNumId w:val="40"/>
  </w:num>
  <w:num w:numId="28">
    <w:abstractNumId w:val="3"/>
  </w:num>
  <w:num w:numId="29">
    <w:abstractNumId w:val="11"/>
  </w:num>
  <w:num w:numId="30">
    <w:abstractNumId w:val="43"/>
  </w:num>
  <w:num w:numId="31">
    <w:abstractNumId w:val="24"/>
  </w:num>
  <w:num w:numId="32">
    <w:abstractNumId w:val="15"/>
  </w:num>
  <w:num w:numId="33">
    <w:abstractNumId w:val="10"/>
  </w:num>
  <w:num w:numId="34">
    <w:abstractNumId w:val="26"/>
  </w:num>
  <w:num w:numId="35">
    <w:abstractNumId w:val="4"/>
  </w:num>
  <w:num w:numId="36">
    <w:abstractNumId w:val="22"/>
  </w:num>
  <w:num w:numId="37">
    <w:abstractNumId w:val="35"/>
  </w:num>
  <w:num w:numId="38">
    <w:abstractNumId w:val="6"/>
  </w:num>
  <w:num w:numId="39">
    <w:abstractNumId w:val="5"/>
  </w:num>
  <w:num w:numId="40">
    <w:abstractNumId w:val="16"/>
  </w:num>
  <w:num w:numId="41">
    <w:abstractNumId w:val="19"/>
  </w:num>
  <w:num w:numId="42">
    <w:abstractNumId w:val="28"/>
  </w:num>
  <w:num w:numId="43">
    <w:abstractNumId w:val="12"/>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hideSpellingErrors/>
  <w:hideGrammaticalErrors/>
  <w:activeWritingStyle w:appName="MSWord" w:lang="pt-PT" w:vendorID="64" w:dllVersion="6" w:nlCheck="1" w:checkStyle="0"/>
  <w:activeWritingStyle w:appName="MSWord" w:lang="en-GB" w:vendorID="64" w:dllVersion="6" w:nlCheck="1" w:checkStyle="1"/>
  <w:activeWritingStyle w:appName="MSWord" w:lang="fr-BE" w:vendorID="64" w:dllVersion="6" w:nlCheck="1" w:checkStyle="0"/>
  <w:activeWritingStyle w:appName="MSWord" w:lang="en-IE" w:vendorID="64" w:dllVersion="6" w:nlCheck="1" w:checkStyle="1"/>
  <w:activeWritingStyle w:appName="MSWord" w:lang="en-US" w:vendorID="64" w:dllVersion="6" w:nlCheck="1" w:checkStyle="1"/>
  <w:activeWritingStyle w:appName="MSWord" w:lang="es-AR" w:vendorID="64" w:dllVersion="6" w:nlCheck="1" w:checkStyle="0"/>
  <w:activeWritingStyle w:appName="MSWord" w:lang="de-DE"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en-IE" w:vendorID="64" w:dllVersion="4096" w:nlCheck="1" w:checkStyle="0"/>
  <w:activeWritingStyle w:appName="MSWord" w:lang="fr-BE" w:vendorID="64" w:dllVersion="4096" w:nlCheck="1" w:checkStyle="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CoverPageOnWordDoc" w:val="true"/>
    <w:docVar w:name="DocStatus" w:val="Green"/>
    <w:docVar w:name="DocuWriteMetaData" w:val="&lt;metadataset docuwriteversion=&quot;4.4.3&quot; technicalblockguid=&quot;4838913448925370079&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64&quot; text=&quot;COVER NOTE&quot; /&gt;_x000d__x000a_    &lt;/basicdatatype&gt;_x000d__x000a_  &lt;/metadata&gt;_x000d__x000a_  &lt;metadata key=&quot;md_HeadingText&quot;&gt;_x000d__x000a_    &lt;headingtext text=&quot;COVER NOTE&quot;&gt;_x000d__x000a_      &lt;formattedtext&gt;_x000d__x000a_        &lt;xaml text=&quot;COVER NOTE&quot;&gt;&amp;lt;FlowDocument xmlns=&quot;http://schemas.microsoft.com/winfx/2006/xaml/presentation&quot;&amp;gt;&amp;lt;Paragraph&amp;gt;COVER NOTE&amp;lt;/Paragraph&amp;gt;&amp;lt;/FlowDocument&amp;gt;&lt;/xaml&gt;_x000d__x000a_      &lt;/formattedtext&gt;_x000d__x000a_    &lt;/headingtext&gt;_x000d__x000a_  &lt;/metadata&gt;_x000d__x000a_  &lt;metadata key=&quot;md_DocumentGroup&quot;&gt;_x000d__x000a_    &lt;basicdatatype&gt;_x000d__x000a_      &lt;document_group key=&quot;dg_12&quot; text=&quot;Cover Pag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0-12-23&lt;/text&gt;_x000d__x000a_  &lt;/metadata&gt;_x000d__x000a_  &lt;metadata key=&quot;md_Prefix&quot;&gt;_x000d__x000a_    &lt;text&gt;&lt;/text&gt;_x000d__x000a_  &lt;/metadata&gt;_x000d__x000a_  &lt;metadata key=&quot;md_DocumentNumber&quot;&gt;_x000d__x000a_    &lt;text&gt;14019&lt;/text&gt;_x000d__x000a_  &lt;/metadata&gt;_x000d__x000a_  &lt;metadata key=&quot;md_YearDocumentNumber&quot;&gt;_x000d__x000a_    &lt;text&gt;2020&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JAI 1110&lt;/text&gt;_x000d__x000a_      &lt;text&gt;COSI 250&lt;/text&gt;_x000d__x000a_      &lt;text&gt;ENFOPOL 348&lt;/text&gt;_x000d__x000a_      &lt;text&gt;ENFOCUSTOM 142&lt;/text&gt;_x000d__x000a_      &lt;text&gt;IXIM 138&lt;/text&gt;_x000d__x000a_      &lt;text&gt;CT 118&lt;/text&gt;_x000d__x000a_      &lt;text&gt;CRIMORG 119&lt;/text&gt;_x000d__x000a_      &lt;text&gt;FRONT 345&lt;/text&gt;_x000d__x000a_      &lt;text&gt;ASIM 95&lt;/text&gt;_x000d__x000a_      &lt;text&gt;VISA 139&lt;/text&gt;_x000d__x000a_      &lt;text&gt;CYBER 278&lt;/text&gt;_x000d__x000a_      &lt;text&gt;DATAPROTECT 151&lt;/text&gt;_x000d__x000a_      &lt;text&gt;CATS 104&lt;/text&gt;_x000d__x000a_      &lt;text&gt;DROIPEN 124&lt;/text&gt;_x000d__x000a_      &lt;text&gt;COPEN 384&lt;/text&gt;_x000d__x000a_      &lt;text&gt;FREMP 146&lt;/text&gt;_x000d__x000a_      &lt;text&gt;JAIEX 119&lt;/text&gt;_x000d__x000a_      &lt;text&gt;CFSP/PESC 1121&lt;/text&gt;_x000d__x000a_      &lt;text&gt;COPS 478&lt;/text&gt;_x000d__x000a_      &lt;text&gt;HYBRID 46&lt;/text&gt;_x000d__x000a_      &lt;text&gt;DISINFO 47&lt;/text&gt;_x000d__x000a_      &lt;text&gt;TELECOM 264&lt;/text&gt;_x000d__x000a_      &lt;text&gt;DIGIT 151&lt;/text&gt;_x000d__x000a_      &lt;text&gt;COMPET 633&lt;/text&gt;_x000d__x000a_      &lt;text&gt;RECH 522&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33&quot; text=&quot;Secretary-General of the European Commission, signed by Ms Martine DEPREZ, Director&quot; /&gt;_x000d__x000a_    &lt;/basicdatatype&gt;_x000d__x000a_  &lt;/metadata&gt;_x000d__x000a_  &lt;metadata key=&quot;md_Recipient&quot;&gt;_x000d__x000a_    &lt;basicdatatype&gt;_x000d__x000a_      &lt;recipient key=&quot;re_02&quot; text=&quot;Mr Jeppe TRANHOLM-MIKKELSEN, Secretary-General of the Council of the European Union&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gt;_x000d__x000a_      &lt;text&gt;COM(2020) 797 final/2&lt;/text&gt;_x000d__x000a_    &lt;/textlist&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COMMUNICATION FROM THE COMMISSION TO THE EUROPEAN PARLIAMENT AND THE COUNCIL First Progress Report on the EU Security Union Strategy&quot;&gt;&amp;lt;FlowDocument FontFamily=&quot;Segoe UI&quot; FontSize=&quot;12&quot; PagePadding=&quot;2,2,2,2&quot; AllowDrop=&quot;False&quot; xmlns=&quot;http://schemas.microsoft.com/winfx/2006/xaml/presentation&quot;&amp;gt;&amp;lt;Paragraph&amp;gt;COMMUNICATION FROM THE COMMISSION TO THE EUROPEAN PARLIAMENT AND THE COUNCIL First Progress Report on the EU Security Union Strategy&amp;lt;/Paragraph&amp;gt;&amp;lt;/FlowDocument&amp;gt;&lt;/xaml&gt;_x000d__x000a_  &lt;/metadata&gt;_x000d__x000a_  &lt;metadata key=&quot;md_SubjectFootnote&quot; /&gt;_x000d__x000a_  &lt;metadata key=&quot;md_DG&quot;&gt;_x000d__x000a_    &lt;text&gt;JAI.1&lt;/text&gt;_x000d__x000a_  &lt;/metadata&gt;_x000d__x000a_  &lt;metadata key=&quot;md_Initials&quot;&gt;_x000d__x000a_    &lt;text&gt;RS/sc&lt;/text&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0&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0&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EN&lt;/text&gt;_x000d__x000a_  &lt;/metadata&gt;_x000d__x000a_  &lt;metadata key=&quot;md_SourceDocType&quot;&gt;_x000d__x000a_    &lt;text&gt;COMMUNICATION FROM THE COMMISSION TO THE EUROPEAN PARLIAMENT AND THE COUNCIL&lt;/text&gt;_x000d__x000a_  &lt;/metadata&gt;_x000d__x000a_  &lt;metadata key=&quot;md_SourceDocTitle&quot;&gt;_x000d__x000a_    &lt;text&gt;First Progress Report on the EU Security Union Strategy_x000d__x000a__x000d__x000a__x000d__x000a__x000d__x000a__x000d__x000a__x000d__x000a__x000d__x000a__x000d__x000a__x000d__x000a__x000d__x000a__x000d__x000a_&lt;/text&gt;_x000d__x000a_  &lt;/metadata&gt;_x000d__x000a_  &lt;metadata key=&quot;md_SourceDocIsCECDoc&quot;&gt;_x000d__x000a_    &lt;text&gt;true&lt;/text&gt;_x000d__x000a_  &lt;/metadata&gt;_x000d__x000a_  &lt;metadata key=&quot;md_NB1&quot; /&gt;_x000d__x000a_  &lt;metadata key=&quot;md_NB2&quot; /&gt;_x000d__x000a_  &lt;metadata key=&quot;md_NB3&quot; /&gt;_x000d__x000a_  &lt;metadata key=&quot;md_NB4&quot; /&gt;_x000d__x000a_  &lt;metadata key=&quot;md_CustomNB&quot; /&gt;_x000d__x000a_  &lt;metadata key=&quot;md_Meetings&quot;&gt;_x000d__x000a_    &lt;meetings /&gt;_x000d__x000a_  &lt;/metadata&gt;_x000d__x000a_  &lt;metadata key=&quot;md_VisualRepresentation&quot;&gt;_x000d__x000a_    &lt;basicdatatype&gt;_x000d__x000a_      &lt;originator key=&quot;visrep_02&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LW_CORRIGENDUM" w:val="&lt;UNUSED&gt;"/>
    <w:docVar w:name="LW_COVERPAGE_EXISTS" w:val="True"/>
    <w:docVar w:name="LW_COVERPAGE_GUID" w:val="795A138C-084C-4E26-BDA8-F6F4726F2DD8"/>
    <w:docVar w:name="LW_COVERPAGE_TYPE" w:val="1"/>
    <w:docVar w:name="LW_CROSSREFERENCE" w:val="&lt;UNUSED&gt;"/>
    <w:docVar w:name="LW_DocType" w:val="NORMAL"/>
    <w:docVar w:name="LW_EMISSION" w:val="9.12.2020"/>
    <w:docVar w:name="LW_EMISSION_ISODATE" w:val="2020-12-09"/>
    <w:docVar w:name="LW_EMISSION_LOCATION" w:val="BRX"/>
    <w:docVar w:name="LW_EMISSION_PREFIX" w:val="Brussels,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2"/>
    <w:docVar w:name="LW_REF.INST.NEW_TEXT" w:val="(2020) 79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First Progress Report on the EU Security Union Strategy_x000d__x000d__x000d__x000d__x000d__x000d__x000d__x000d__x000d__x000d__x000b_"/>
    <w:docVar w:name="LW_TYPE.DOC.CP" w:val="COMMUNICATION FROM THE COMMISSION TO THE EUROPEAN PARLIAMENT AND THE COUNCIL"/>
    <w:docVar w:name="LW_TYPE.DOC.CP.USERTEXT" w:val="&lt;EMPTY&gt;"/>
  </w:docVars>
  <w:rsids>
    <w:rsidRoot w:val="00872751"/>
    <w:rsid w:val="000F50F2"/>
    <w:rsid w:val="0030123B"/>
    <w:rsid w:val="00310B0A"/>
    <w:rsid w:val="003A3B5A"/>
    <w:rsid w:val="00497C7B"/>
    <w:rsid w:val="00521C13"/>
    <w:rsid w:val="00703786"/>
    <w:rsid w:val="007F6272"/>
    <w:rsid w:val="00807FFB"/>
    <w:rsid w:val="008477BD"/>
    <w:rsid w:val="00872751"/>
    <w:rsid w:val="009D1084"/>
    <w:rsid w:val="00AF562E"/>
    <w:rsid w:val="00B2738D"/>
    <w:rsid w:val="00CC32B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310B0A"/>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lang w:val="en-GB"/>
    </w:rPr>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pPr>
      <w:spacing w:after="200" w:line="276" w:lineRule="auto"/>
      <w:ind w:left="720"/>
      <w:contextualSpacing/>
    </w:pPr>
    <w:rPr>
      <w:lang w:val="en-GB"/>
    </w:rPr>
  </w:style>
  <w:style w:type="paragraph" w:styleId="FootnoteText">
    <w:name w:val="footnote text"/>
    <w:aliases w:val="Char,Fußnote,Carattere,fn,Footnotes,Footnote ak,Footnote Text Char Char,fn Char Char,footnote text Char Char,Footnotes Char Char,Footnote ak Char Char,fn Char1,footnote text Char1,Footnotes Char1,ft,Footnote Text_EP-LC,foottextfra,A,ftx,o"/>
    <w:basedOn w:val="Normal"/>
    <w:link w:val="FootnoteTextChar"/>
    <w:uiPriority w:val="99"/>
    <w:unhideWhenUsed/>
    <w:qFormat/>
    <w:pPr>
      <w:spacing w:after="0" w:line="240" w:lineRule="auto"/>
    </w:pPr>
    <w:rPr>
      <w:sz w:val="20"/>
      <w:szCs w:val="20"/>
      <w:lang w:val="en-GB"/>
    </w:rPr>
  </w:style>
  <w:style w:type="character" w:customStyle="1" w:styleId="FootnoteTextChar">
    <w:name w:val="Footnote Text Char"/>
    <w:aliases w:val="Char Char,Fußnote Char,Carattere Char,fn Char,Footnotes Char,Footnote ak Char,Footnote Text Char Char Char,fn Char Char Char,footnote text Char Char Char,Footnotes Char Char Char,Footnote ak Char Char Char,fn Char1 Char,ft Char,A Char"/>
    <w:basedOn w:val="DefaultParagraphFont"/>
    <w:link w:val="FootnoteText"/>
    <w:uiPriority w:val="99"/>
    <w:qFormat/>
    <w:rPr>
      <w:sz w:val="20"/>
      <w:szCs w:val="20"/>
      <w:lang w:val="en-GB"/>
    </w:rPr>
  </w:style>
  <w:style w:type="character" w:styleId="FootnoteReference">
    <w:name w:val="footnote reference"/>
    <w:aliases w:val="Footnote Refernece,Fussnota,Footnote symbol,Footnote,Fußnotenzeichen_Raxen,Footnote Reference Superscript,Footnote Reference/,Footnote Reference text,Voetnootverwijzing,footnote ref,FR,Fußnotenzeichen diss neu,Times 10 Point,number,fr"/>
    <w:link w:val="BVIfnrChar"/>
    <w:uiPriority w:val="99"/>
    <w:qFormat/>
    <w:rPr>
      <w:vertAlign w:val="superscript"/>
    </w:rPr>
  </w:style>
  <w:style w:type="paragraph" w:customStyle="1" w:styleId="BVIfnrChar">
    <w:name w:val="BVI fnr Char"/>
    <w:aliases w:val="Appel note de bas de p.;BVI fnr Car Car Car Car, BVI fnr Car Car,BVI fnr Car, BVI fnr Car Car Car Car, BVI fnr Car Car Car Car Char,Appel note de bas de p..BVI fnr Car Car Car Car,Appel note de bas de p.,BVI fnr Car Car Car Car"/>
    <w:basedOn w:val="Normal"/>
    <w:link w:val="FootnoteReference"/>
    <w:uiPriority w:val="99"/>
    <w:pPr>
      <w:spacing w:line="240" w:lineRule="exact"/>
    </w:pPr>
    <w:rPr>
      <w:vertAlign w:val="superscript"/>
    </w:rPr>
  </w:style>
  <w:style w:type="character" w:styleId="Hyperlink">
    <w:name w:val="Hyperlink"/>
    <w:basedOn w:val="DefaultParagraphFont"/>
    <w:uiPriority w:val="99"/>
    <w:unhideWhenUsed/>
    <w:rPr>
      <w:color w:val="0000FF"/>
      <w:u w:val="singl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after="200" w:line="240" w:lineRule="auto"/>
    </w:pPr>
    <w:rPr>
      <w:sz w:val="20"/>
      <w:szCs w:val="20"/>
      <w:lang w:val="en-GB"/>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Pr>
      <w:lang w:val="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lang w:val="en-GB"/>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lang w:val="en-GB"/>
    </w:rPr>
  </w:style>
  <w:style w:type="character" w:customStyle="1" w:styleId="BriefingtextChar">
    <w:name w:val="Briefing text Char"/>
    <w:link w:val="Briefingtext"/>
    <w:rPr>
      <w:rFonts w:ascii="Arial" w:eastAsia="Times New Roman" w:hAnsi="Arial" w:cs="Arial"/>
      <w:szCs w:val="24"/>
      <w:lang w:val="en-GB"/>
    </w:rPr>
  </w:style>
  <w:style w:type="paragraph" w:customStyle="1" w:styleId="Briefingheading3">
    <w:name w:val="Briefing heading 3"/>
    <w:basedOn w:val="Briefingtext"/>
    <w:next w:val="Briefingtext"/>
    <w:pPr>
      <w:keepNext/>
      <w:spacing w:before="120" w:after="120"/>
    </w:pPr>
    <w:rPr>
      <w:rFonts w:cs="Times New Roman"/>
      <w:b/>
      <w:i/>
      <w:szCs w:val="20"/>
    </w:rPr>
  </w:style>
  <w:style w:type="paragraph" w:styleId="EndnoteText">
    <w:name w:val="endnote text"/>
    <w:basedOn w:val="Normal"/>
    <w:link w:val="EndnoteTextChar"/>
    <w:uiPriority w:val="99"/>
    <w:semiHidden/>
    <w:unhideWhenUsed/>
    <w:pPr>
      <w:spacing w:after="0" w:line="240" w:lineRule="auto"/>
    </w:pPr>
    <w:rPr>
      <w:sz w:val="20"/>
      <w:szCs w:val="20"/>
      <w:lang w:val="en-GB"/>
    </w:rPr>
  </w:style>
  <w:style w:type="character" w:customStyle="1" w:styleId="EndnoteTextChar">
    <w:name w:val="Endnote Text Char"/>
    <w:basedOn w:val="DefaultParagraphFont"/>
    <w:link w:val="EndnoteText"/>
    <w:uiPriority w:val="99"/>
    <w:semiHidden/>
    <w:rPr>
      <w:sz w:val="20"/>
      <w:szCs w:val="20"/>
      <w:lang w:val="en-GB"/>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Pr>
      <w:b/>
      <w:bCs/>
    </w:rPr>
  </w:style>
  <w:style w:type="paragraph" w:customStyle="1" w:styleId="Briefinglist1">
    <w:name w:val="Briefing list 1"/>
    <w:basedOn w:val="Normal"/>
    <w:link w:val="Briefinglist1Char"/>
    <w:qFormat/>
    <w:pPr>
      <w:numPr>
        <w:numId w:val="28"/>
      </w:numPr>
      <w:spacing w:after="120" w:line="240" w:lineRule="auto"/>
      <w:jc w:val="both"/>
    </w:pPr>
    <w:rPr>
      <w:rFonts w:ascii="Arial" w:hAnsi="Arial" w:cs="Arial"/>
      <w:lang w:val="en-GB"/>
    </w:rPr>
  </w:style>
  <w:style w:type="character" w:customStyle="1" w:styleId="Briefinglist1Char">
    <w:name w:val="Briefing list 1 Char"/>
    <w:basedOn w:val="DefaultParagraphFont"/>
    <w:link w:val="Briefinglist1"/>
    <w:qFormat/>
    <w:rPr>
      <w:rFonts w:ascii="Arial" w:hAnsi="Arial" w:cs="Arial"/>
      <w:lang w:val="en-GB"/>
    </w:rPr>
  </w:style>
  <w:style w:type="paragraph" w:customStyle="1" w:styleId="emission">
    <w:name w:val="emission"/>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rfrenceinstitutionnelle">
    <w:name w:val="rfrenceinstitutionnelle"/>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pPr>
      <w:spacing w:after="0" w:line="240" w:lineRule="auto"/>
    </w:pPr>
    <w:rPr>
      <w:lang w:val="en-GB"/>
    </w:rPr>
  </w:style>
  <w:style w:type="table" w:styleId="TableGrid">
    <w:name w:val="Table Grid"/>
    <w:basedOn w:val="TableNormal"/>
    <w:uiPriority w:val="5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en-GB"/>
    </w:rPr>
  </w:style>
  <w:style w:type="character" w:styleId="Emphasis">
    <w:name w:val="Emphasis"/>
    <w:basedOn w:val="DefaultParagraphFont"/>
    <w:uiPriority w:val="20"/>
    <w:qFormat/>
    <w:rPr>
      <w:i/>
      <w:iCs/>
    </w:rPr>
  </w:style>
  <w:style w:type="paragraph" w:customStyle="1" w:styleId="has-text-color">
    <w:name w:val="has-text-color"/>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ootnoteTextChar2">
    <w:name w:val="Footnote Text Char2"/>
    <w:aliases w:val="Char Char Car Char,Char2 Char1,Sprotna opomba - besedilo Znak1 Char1,Sprotna opomba - besedilo Znak Znak2 Char1,Sprotna opomba - besedilo Znak1 Znak Znak1 Char1,Sprotna opomba - besedilo Znak1 Znak Znak Znak Char1,o Char"/>
    <w:basedOn w:val="DefaultParagraphFont"/>
    <w:semiHidden/>
    <w:locked/>
  </w:style>
  <w:style w:type="character" w:styleId="PlaceholderText">
    <w:name w:val="Placeholder Text"/>
    <w:basedOn w:val="DefaultParagraphFont"/>
    <w:uiPriority w:val="99"/>
    <w:semiHidden/>
    <w:rPr>
      <w:color w:val="808080"/>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TechnicalBlock">
    <w:name w:val="Technical Block"/>
    <w:basedOn w:val="Normal"/>
    <w:link w:val="TechnicalBlockChar"/>
    <w:rsid w:val="00310B0A"/>
    <w:pPr>
      <w:spacing w:after="240" w:line="240" w:lineRule="auto"/>
      <w:jc w:val="center"/>
    </w:pPr>
  </w:style>
  <w:style w:type="character" w:customStyle="1" w:styleId="TechnicalBlockChar">
    <w:name w:val="Technical Block Char"/>
    <w:basedOn w:val="DefaultParagraphFont"/>
    <w:link w:val="TechnicalBlock"/>
    <w:rsid w:val="00310B0A"/>
  </w:style>
  <w:style w:type="paragraph" w:customStyle="1" w:styleId="EntText">
    <w:name w:val="EntText"/>
    <w:basedOn w:val="Normal"/>
    <w:rsid w:val="00310B0A"/>
    <w:pPr>
      <w:spacing w:before="120" w:after="120" w:line="360" w:lineRule="auto"/>
    </w:pPr>
    <w:rPr>
      <w:rFonts w:ascii="Times New Roman" w:hAnsi="Times New Roman" w:cs="Times New Roman"/>
      <w:sz w:val="24"/>
    </w:rPr>
  </w:style>
  <w:style w:type="paragraph" w:customStyle="1" w:styleId="Lignefinal">
    <w:name w:val="Ligne final"/>
    <w:basedOn w:val="Normal"/>
    <w:next w:val="Normal"/>
    <w:rsid w:val="00310B0A"/>
    <w:pPr>
      <w:pBdr>
        <w:bottom w:val="single" w:sz="4" w:space="0" w:color="000000"/>
      </w:pBdr>
      <w:spacing w:before="360" w:after="120" w:line="360" w:lineRule="auto"/>
      <w:ind w:left="3400" w:right="3400"/>
      <w:jc w:val="center"/>
    </w:pPr>
    <w:rPr>
      <w:rFonts w:ascii="Times New Roman" w:hAnsi="Times New Roman" w:cs="Times New Roman"/>
      <w:b/>
      <w:sz w:val="24"/>
    </w:rPr>
  </w:style>
  <w:style w:type="paragraph" w:customStyle="1" w:styleId="pj">
    <w:name w:val="p.j."/>
    <w:basedOn w:val="Normal"/>
    <w:link w:val="pjChar"/>
    <w:rsid w:val="00310B0A"/>
    <w:pPr>
      <w:spacing w:before="1200" w:after="120" w:line="240" w:lineRule="auto"/>
      <w:ind w:left="1440" w:hanging="1440"/>
    </w:pPr>
    <w:rPr>
      <w:rFonts w:ascii="Times New Roman" w:hAnsi="Times New Roman" w:cs="Times New Roman"/>
      <w:sz w:val="24"/>
    </w:rPr>
  </w:style>
  <w:style w:type="character" w:customStyle="1" w:styleId="pjChar">
    <w:name w:val="p.j. Char"/>
    <w:basedOn w:val="TechnicalBlockChar"/>
    <w:link w:val="pj"/>
    <w:rsid w:val="00310B0A"/>
    <w:rPr>
      <w:rFonts w:ascii="Times New Roman" w:hAnsi="Times New Roman" w:cs="Times New Roman"/>
      <w:sz w:val="24"/>
    </w:rPr>
  </w:style>
  <w:style w:type="paragraph" w:customStyle="1" w:styleId="nbbordered">
    <w:name w:val="nb bordered"/>
    <w:basedOn w:val="Normal"/>
    <w:link w:val="nbborderedChar"/>
    <w:rsid w:val="00310B0A"/>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hAnsi="Times New Roman" w:cs="Times New Roman"/>
      <w:b/>
      <w:sz w:val="24"/>
    </w:rPr>
  </w:style>
  <w:style w:type="character" w:customStyle="1" w:styleId="nbborderedChar">
    <w:name w:val="nb bordered Char"/>
    <w:basedOn w:val="TechnicalBlockChar"/>
    <w:link w:val="nbbordered"/>
    <w:rsid w:val="00310B0A"/>
    <w:rPr>
      <w:rFonts w:ascii="Times New Roman" w:hAnsi="Times New Roman" w:cs="Times New Roman"/>
      <w:b/>
      <w:sz w:val="24"/>
    </w:rPr>
  </w:style>
  <w:style w:type="paragraph" w:customStyle="1" w:styleId="HeaderCouncil">
    <w:name w:val="Header Council"/>
    <w:basedOn w:val="Normal"/>
    <w:link w:val="HeaderCouncilChar"/>
    <w:rsid w:val="00310B0A"/>
    <w:pPr>
      <w:spacing w:after="0"/>
    </w:pPr>
    <w:rPr>
      <w:noProof/>
      <w:sz w:val="2"/>
    </w:rPr>
  </w:style>
  <w:style w:type="character" w:customStyle="1" w:styleId="HeaderCouncilChar">
    <w:name w:val="Header Council Char"/>
    <w:basedOn w:val="DefaultParagraphFont"/>
    <w:link w:val="HeaderCouncil"/>
    <w:rsid w:val="00310B0A"/>
    <w:rPr>
      <w:noProof/>
      <w:sz w:val="2"/>
    </w:rPr>
  </w:style>
  <w:style w:type="paragraph" w:customStyle="1" w:styleId="HeaderCouncilLarge">
    <w:name w:val="Header Council Large"/>
    <w:basedOn w:val="Normal"/>
    <w:link w:val="HeaderCouncilLargeChar"/>
    <w:rsid w:val="00310B0A"/>
    <w:pPr>
      <w:spacing w:after="440"/>
    </w:pPr>
    <w:rPr>
      <w:noProof/>
      <w:sz w:val="2"/>
    </w:rPr>
  </w:style>
  <w:style w:type="character" w:customStyle="1" w:styleId="HeaderCouncilLargeChar">
    <w:name w:val="Header Council Large Char"/>
    <w:basedOn w:val="DefaultParagraphFont"/>
    <w:link w:val="HeaderCouncilLarge"/>
    <w:rsid w:val="00310B0A"/>
    <w:rPr>
      <w:noProof/>
      <w:sz w:val="2"/>
    </w:rPr>
  </w:style>
  <w:style w:type="paragraph" w:customStyle="1" w:styleId="FooterCouncil">
    <w:name w:val="Footer Council"/>
    <w:basedOn w:val="Normal"/>
    <w:link w:val="FooterCouncilChar"/>
    <w:rsid w:val="00310B0A"/>
    <w:pPr>
      <w:spacing w:after="0"/>
    </w:pPr>
    <w:rPr>
      <w:noProof/>
      <w:sz w:val="2"/>
    </w:rPr>
  </w:style>
  <w:style w:type="character" w:customStyle="1" w:styleId="FooterCouncilChar">
    <w:name w:val="Footer Council Char"/>
    <w:basedOn w:val="DefaultParagraphFont"/>
    <w:link w:val="FooterCouncil"/>
    <w:rsid w:val="00310B0A"/>
    <w:rPr>
      <w:noProof/>
      <w:sz w:val="2"/>
    </w:rPr>
  </w:style>
  <w:style w:type="paragraph" w:customStyle="1" w:styleId="FooterText">
    <w:name w:val="Footer Text"/>
    <w:basedOn w:val="Normal"/>
    <w:rsid w:val="00310B0A"/>
    <w:pPr>
      <w:spacing w:after="0" w:line="240" w:lineRule="auto"/>
    </w:pPr>
    <w:rPr>
      <w:rFonts w:ascii="Times New Roman" w:eastAsia="Times New Roman" w:hAnsi="Times New Roman" w:cs="Times New Roman"/>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24641">
      <w:bodyDiv w:val="1"/>
      <w:marLeft w:val="0"/>
      <w:marRight w:val="0"/>
      <w:marTop w:val="0"/>
      <w:marBottom w:val="0"/>
      <w:divBdr>
        <w:top w:val="none" w:sz="0" w:space="0" w:color="auto"/>
        <w:left w:val="none" w:sz="0" w:space="0" w:color="auto"/>
        <w:bottom w:val="none" w:sz="0" w:space="0" w:color="auto"/>
        <w:right w:val="none" w:sz="0" w:space="0" w:color="auto"/>
      </w:divBdr>
    </w:div>
    <w:div w:id="130176158">
      <w:bodyDiv w:val="1"/>
      <w:marLeft w:val="0"/>
      <w:marRight w:val="0"/>
      <w:marTop w:val="0"/>
      <w:marBottom w:val="0"/>
      <w:divBdr>
        <w:top w:val="none" w:sz="0" w:space="0" w:color="auto"/>
        <w:left w:val="none" w:sz="0" w:space="0" w:color="auto"/>
        <w:bottom w:val="none" w:sz="0" w:space="0" w:color="auto"/>
        <w:right w:val="none" w:sz="0" w:space="0" w:color="auto"/>
      </w:divBdr>
    </w:div>
    <w:div w:id="141889331">
      <w:bodyDiv w:val="1"/>
      <w:marLeft w:val="0"/>
      <w:marRight w:val="0"/>
      <w:marTop w:val="0"/>
      <w:marBottom w:val="0"/>
      <w:divBdr>
        <w:top w:val="none" w:sz="0" w:space="0" w:color="auto"/>
        <w:left w:val="none" w:sz="0" w:space="0" w:color="auto"/>
        <w:bottom w:val="none" w:sz="0" w:space="0" w:color="auto"/>
        <w:right w:val="none" w:sz="0" w:space="0" w:color="auto"/>
      </w:divBdr>
    </w:div>
    <w:div w:id="334115999">
      <w:bodyDiv w:val="1"/>
      <w:marLeft w:val="0"/>
      <w:marRight w:val="0"/>
      <w:marTop w:val="0"/>
      <w:marBottom w:val="0"/>
      <w:divBdr>
        <w:top w:val="none" w:sz="0" w:space="0" w:color="auto"/>
        <w:left w:val="none" w:sz="0" w:space="0" w:color="auto"/>
        <w:bottom w:val="none" w:sz="0" w:space="0" w:color="auto"/>
        <w:right w:val="none" w:sz="0" w:space="0" w:color="auto"/>
      </w:divBdr>
    </w:div>
    <w:div w:id="348794516">
      <w:bodyDiv w:val="1"/>
      <w:marLeft w:val="0"/>
      <w:marRight w:val="0"/>
      <w:marTop w:val="0"/>
      <w:marBottom w:val="0"/>
      <w:divBdr>
        <w:top w:val="none" w:sz="0" w:space="0" w:color="auto"/>
        <w:left w:val="none" w:sz="0" w:space="0" w:color="auto"/>
        <w:bottom w:val="none" w:sz="0" w:space="0" w:color="auto"/>
        <w:right w:val="none" w:sz="0" w:space="0" w:color="auto"/>
      </w:divBdr>
    </w:div>
    <w:div w:id="382562919">
      <w:bodyDiv w:val="1"/>
      <w:marLeft w:val="0"/>
      <w:marRight w:val="0"/>
      <w:marTop w:val="0"/>
      <w:marBottom w:val="0"/>
      <w:divBdr>
        <w:top w:val="none" w:sz="0" w:space="0" w:color="auto"/>
        <w:left w:val="none" w:sz="0" w:space="0" w:color="auto"/>
        <w:bottom w:val="none" w:sz="0" w:space="0" w:color="auto"/>
        <w:right w:val="none" w:sz="0" w:space="0" w:color="auto"/>
      </w:divBdr>
    </w:div>
    <w:div w:id="393504610">
      <w:bodyDiv w:val="1"/>
      <w:marLeft w:val="0"/>
      <w:marRight w:val="0"/>
      <w:marTop w:val="0"/>
      <w:marBottom w:val="0"/>
      <w:divBdr>
        <w:top w:val="none" w:sz="0" w:space="0" w:color="auto"/>
        <w:left w:val="none" w:sz="0" w:space="0" w:color="auto"/>
        <w:bottom w:val="none" w:sz="0" w:space="0" w:color="auto"/>
        <w:right w:val="none" w:sz="0" w:space="0" w:color="auto"/>
      </w:divBdr>
    </w:div>
    <w:div w:id="426973513">
      <w:bodyDiv w:val="1"/>
      <w:marLeft w:val="0"/>
      <w:marRight w:val="0"/>
      <w:marTop w:val="0"/>
      <w:marBottom w:val="0"/>
      <w:divBdr>
        <w:top w:val="none" w:sz="0" w:space="0" w:color="auto"/>
        <w:left w:val="none" w:sz="0" w:space="0" w:color="auto"/>
        <w:bottom w:val="none" w:sz="0" w:space="0" w:color="auto"/>
        <w:right w:val="none" w:sz="0" w:space="0" w:color="auto"/>
      </w:divBdr>
    </w:div>
    <w:div w:id="525337248">
      <w:bodyDiv w:val="1"/>
      <w:marLeft w:val="0"/>
      <w:marRight w:val="0"/>
      <w:marTop w:val="0"/>
      <w:marBottom w:val="0"/>
      <w:divBdr>
        <w:top w:val="none" w:sz="0" w:space="0" w:color="auto"/>
        <w:left w:val="none" w:sz="0" w:space="0" w:color="auto"/>
        <w:bottom w:val="none" w:sz="0" w:space="0" w:color="auto"/>
        <w:right w:val="none" w:sz="0" w:space="0" w:color="auto"/>
      </w:divBdr>
    </w:div>
    <w:div w:id="727806971">
      <w:bodyDiv w:val="1"/>
      <w:marLeft w:val="0"/>
      <w:marRight w:val="0"/>
      <w:marTop w:val="0"/>
      <w:marBottom w:val="0"/>
      <w:divBdr>
        <w:top w:val="none" w:sz="0" w:space="0" w:color="auto"/>
        <w:left w:val="none" w:sz="0" w:space="0" w:color="auto"/>
        <w:bottom w:val="none" w:sz="0" w:space="0" w:color="auto"/>
        <w:right w:val="none" w:sz="0" w:space="0" w:color="auto"/>
      </w:divBdr>
    </w:div>
    <w:div w:id="800926482">
      <w:bodyDiv w:val="1"/>
      <w:marLeft w:val="0"/>
      <w:marRight w:val="0"/>
      <w:marTop w:val="0"/>
      <w:marBottom w:val="0"/>
      <w:divBdr>
        <w:top w:val="none" w:sz="0" w:space="0" w:color="auto"/>
        <w:left w:val="none" w:sz="0" w:space="0" w:color="auto"/>
        <w:bottom w:val="none" w:sz="0" w:space="0" w:color="auto"/>
        <w:right w:val="none" w:sz="0" w:space="0" w:color="auto"/>
      </w:divBdr>
    </w:div>
    <w:div w:id="831215642">
      <w:bodyDiv w:val="1"/>
      <w:marLeft w:val="0"/>
      <w:marRight w:val="0"/>
      <w:marTop w:val="0"/>
      <w:marBottom w:val="0"/>
      <w:divBdr>
        <w:top w:val="none" w:sz="0" w:space="0" w:color="auto"/>
        <w:left w:val="none" w:sz="0" w:space="0" w:color="auto"/>
        <w:bottom w:val="none" w:sz="0" w:space="0" w:color="auto"/>
        <w:right w:val="none" w:sz="0" w:space="0" w:color="auto"/>
      </w:divBdr>
    </w:div>
    <w:div w:id="1066755805">
      <w:bodyDiv w:val="1"/>
      <w:marLeft w:val="0"/>
      <w:marRight w:val="0"/>
      <w:marTop w:val="0"/>
      <w:marBottom w:val="0"/>
      <w:divBdr>
        <w:top w:val="none" w:sz="0" w:space="0" w:color="auto"/>
        <w:left w:val="none" w:sz="0" w:space="0" w:color="auto"/>
        <w:bottom w:val="none" w:sz="0" w:space="0" w:color="auto"/>
        <w:right w:val="none" w:sz="0" w:space="0" w:color="auto"/>
      </w:divBdr>
    </w:div>
    <w:div w:id="1262882217">
      <w:bodyDiv w:val="1"/>
      <w:marLeft w:val="0"/>
      <w:marRight w:val="0"/>
      <w:marTop w:val="0"/>
      <w:marBottom w:val="0"/>
      <w:divBdr>
        <w:top w:val="none" w:sz="0" w:space="0" w:color="auto"/>
        <w:left w:val="none" w:sz="0" w:space="0" w:color="auto"/>
        <w:bottom w:val="none" w:sz="0" w:space="0" w:color="auto"/>
        <w:right w:val="none" w:sz="0" w:space="0" w:color="auto"/>
      </w:divBdr>
    </w:div>
    <w:div w:id="1304891371">
      <w:bodyDiv w:val="1"/>
      <w:marLeft w:val="0"/>
      <w:marRight w:val="0"/>
      <w:marTop w:val="0"/>
      <w:marBottom w:val="0"/>
      <w:divBdr>
        <w:top w:val="none" w:sz="0" w:space="0" w:color="auto"/>
        <w:left w:val="none" w:sz="0" w:space="0" w:color="auto"/>
        <w:bottom w:val="none" w:sz="0" w:space="0" w:color="auto"/>
        <w:right w:val="none" w:sz="0" w:space="0" w:color="auto"/>
      </w:divBdr>
    </w:div>
    <w:div w:id="1329407311">
      <w:bodyDiv w:val="1"/>
      <w:marLeft w:val="0"/>
      <w:marRight w:val="0"/>
      <w:marTop w:val="0"/>
      <w:marBottom w:val="0"/>
      <w:divBdr>
        <w:top w:val="none" w:sz="0" w:space="0" w:color="auto"/>
        <w:left w:val="none" w:sz="0" w:space="0" w:color="auto"/>
        <w:bottom w:val="none" w:sz="0" w:space="0" w:color="auto"/>
        <w:right w:val="none" w:sz="0" w:space="0" w:color="auto"/>
      </w:divBdr>
    </w:div>
    <w:div w:id="1499274163">
      <w:bodyDiv w:val="1"/>
      <w:marLeft w:val="0"/>
      <w:marRight w:val="0"/>
      <w:marTop w:val="0"/>
      <w:marBottom w:val="0"/>
      <w:divBdr>
        <w:top w:val="none" w:sz="0" w:space="0" w:color="auto"/>
        <w:left w:val="none" w:sz="0" w:space="0" w:color="auto"/>
        <w:bottom w:val="none" w:sz="0" w:space="0" w:color="auto"/>
        <w:right w:val="none" w:sz="0" w:space="0" w:color="auto"/>
      </w:divBdr>
    </w:div>
    <w:div w:id="1510606629">
      <w:bodyDiv w:val="1"/>
      <w:marLeft w:val="0"/>
      <w:marRight w:val="0"/>
      <w:marTop w:val="0"/>
      <w:marBottom w:val="0"/>
      <w:divBdr>
        <w:top w:val="none" w:sz="0" w:space="0" w:color="auto"/>
        <w:left w:val="none" w:sz="0" w:space="0" w:color="auto"/>
        <w:bottom w:val="none" w:sz="0" w:space="0" w:color="auto"/>
        <w:right w:val="none" w:sz="0" w:space="0" w:color="auto"/>
      </w:divBdr>
    </w:div>
    <w:div w:id="1595474474">
      <w:bodyDiv w:val="1"/>
      <w:marLeft w:val="0"/>
      <w:marRight w:val="0"/>
      <w:marTop w:val="0"/>
      <w:marBottom w:val="0"/>
      <w:divBdr>
        <w:top w:val="none" w:sz="0" w:space="0" w:color="auto"/>
        <w:left w:val="none" w:sz="0" w:space="0" w:color="auto"/>
        <w:bottom w:val="none" w:sz="0" w:space="0" w:color="auto"/>
        <w:right w:val="none" w:sz="0" w:space="0" w:color="auto"/>
      </w:divBdr>
    </w:div>
    <w:div w:id="1603800803">
      <w:bodyDiv w:val="1"/>
      <w:marLeft w:val="0"/>
      <w:marRight w:val="0"/>
      <w:marTop w:val="0"/>
      <w:marBottom w:val="0"/>
      <w:divBdr>
        <w:top w:val="none" w:sz="0" w:space="0" w:color="auto"/>
        <w:left w:val="none" w:sz="0" w:space="0" w:color="auto"/>
        <w:bottom w:val="none" w:sz="0" w:space="0" w:color="auto"/>
        <w:right w:val="none" w:sz="0" w:space="0" w:color="auto"/>
      </w:divBdr>
    </w:div>
    <w:div w:id="1667439340">
      <w:bodyDiv w:val="1"/>
      <w:marLeft w:val="0"/>
      <w:marRight w:val="0"/>
      <w:marTop w:val="0"/>
      <w:marBottom w:val="0"/>
      <w:divBdr>
        <w:top w:val="none" w:sz="0" w:space="0" w:color="auto"/>
        <w:left w:val="none" w:sz="0" w:space="0" w:color="auto"/>
        <w:bottom w:val="none" w:sz="0" w:space="0" w:color="auto"/>
        <w:right w:val="none" w:sz="0" w:space="0" w:color="auto"/>
      </w:divBdr>
    </w:div>
    <w:div w:id="1667631980">
      <w:bodyDiv w:val="1"/>
      <w:marLeft w:val="0"/>
      <w:marRight w:val="0"/>
      <w:marTop w:val="0"/>
      <w:marBottom w:val="0"/>
      <w:divBdr>
        <w:top w:val="none" w:sz="0" w:space="0" w:color="auto"/>
        <w:left w:val="none" w:sz="0" w:space="0" w:color="auto"/>
        <w:bottom w:val="none" w:sz="0" w:space="0" w:color="auto"/>
        <w:right w:val="none" w:sz="0" w:space="0" w:color="auto"/>
      </w:divBdr>
    </w:div>
    <w:div w:id="1673993597">
      <w:bodyDiv w:val="1"/>
      <w:marLeft w:val="0"/>
      <w:marRight w:val="0"/>
      <w:marTop w:val="0"/>
      <w:marBottom w:val="0"/>
      <w:divBdr>
        <w:top w:val="none" w:sz="0" w:space="0" w:color="auto"/>
        <w:left w:val="none" w:sz="0" w:space="0" w:color="auto"/>
        <w:bottom w:val="none" w:sz="0" w:space="0" w:color="auto"/>
        <w:right w:val="none" w:sz="0" w:space="0" w:color="auto"/>
      </w:divBdr>
    </w:div>
    <w:div w:id="1679964251">
      <w:bodyDiv w:val="1"/>
      <w:marLeft w:val="0"/>
      <w:marRight w:val="0"/>
      <w:marTop w:val="0"/>
      <w:marBottom w:val="0"/>
      <w:divBdr>
        <w:top w:val="none" w:sz="0" w:space="0" w:color="auto"/>
        <w:left w:val="none" w:sz="0" w:space="0" w:color="auto"/>
        <w:bottom w:val="none" w:sz="0" w:space="0" w:color="auto"/>
        <w:right w:val="none" w:sz="0" w:space="0" w:color="auto"/>
      </w:divBdr>
    </w:div>
    <w:div w:id="1734499378">
      <w:bodyDiv w:val="1"/>
      <w:marLeft w:val="0"/>
      <w:marRight w:val="0"/>
      <w:marTop w:val="0"/>
      <w:marBottom w:val="0"/>
      <w:divBdr>
        <w:top w:val="none" w:sz="0" w:space="0" w:color="auto"/>
        <w:left w:val="none" w:sz="0" w:space="0" w:color="auto"/>
        <w:bottom w:val="none" w:sz="0" w:space="0" w:color="auto"/>
        <w:right w:val="none" w:sz="0" w:space="0" w:color="auto"/>
      </w:divBdr>
    </w:div>
    <w:div w:id="1769696046">
      <w:bodyDiv w:val="1"/>
      <w:marLeft w:val="0"/>
      <w:marRight w:val="0"/>
      <w:marTop w:val="0"/>
      <w:marBottom w:val="0"/>
      <w:divBdr>
        <w:top w:val="none" w:sz="0" w:space="0" w:color="auto"/>
        <w:left w:val="none" w:sz="0" w:space="0" w:color="auto"/>
        <w:bottom w:val="none" w:sz="0" w:space="0" w:color="auto"/>
        <w:right w:val="none" w:sz="0" w:space="0" w:color="auto"/>
      </w:divBdr>
    </w:div>
    <w:div w:id="1786342156">
      <w:bodyDiv w:val="1"/>
      <w:marLeft w:val="0"/>
      <w:marRight w:val="0"/>
      <w:marTop w:val="0"/>
      <w:marBottom w:val="0"/>
      <w:divBdr>
        <w:top w:val="none" w:sz="0" w:space="0" w:color="auto"/>
        <w:left w:val="none" w:sz="0" w:space="0" w:color="auto"/>
        <w:bottom w:val="none" w:sz="0" w:space="0" w:color="auto"/>
        <w:right w:val="none" w:sz="0" w:space="0" w:color="auto"/>
      </w:divBdr>
    </w:div>
    <w:div w:id="1961765667">
      <w:bodyDiv w:val="1"/>
      <w:marLeft w:val="0"/>
      <w:marRight w:val="0"/>
      <w:marTop w:val="0"/>
      <w:marBottom w:val="0"/>
      <w:divBdr>
        <w:top w:val="none" w:sz="0" w:space="0" w:color="auto"/>
        <w:left w:val="none" w:sz="0" w:space="0" w:color="auto"/>
        <w:bottom w:val="none" w:sz="0" w:space="0" w:color="auto"/>
        <w:right w:val="none" w:sz="0" w:space="0" w:color="auto"/>
      </w:divBdr>
    </w:div>
    <w:div w:id="2078089986">
      <w:bodyDiv w:val="1"/>
      <w:marLeft w:val="0"/>
      <w:marRight w:val="0"/>
      <w:marTop w:val="0"/>
      <w:marBottom w:val="0"/>
      <w:divBdr>
        <w:top w:val="none" w:sz="0" w:space="0" w:color="auto"/>
        <w:left w:val="none" w:sz="0" w:space="0" w:color="auto"/>
        <w:bottom w:val="none" w:sz="0" w:space="0" w:color="auto"/>
        <w:right w:val="none" w:sz="0" w:space="0" w:color="auto"/>
      </w:divBdr>
    </w:div>
    <w:div w:id="2129276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www.eurojust.europa.eu/press/Documents/2020-09-14-Eurojust-Memorandum-on-Battlefield-Evidence.pdf" TargetMode="Externa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hyperlink" Target="https://ec.europa.eu/info/publications/2020-rule-law-report-communication-and-country-chapters_en" TargetMode="External"/><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yperlink" Target="https://eur-lex.europa.eu/legal-content/GA/TXT/?uri=CELEX:52015DC0185" TargetMode="External"/><Relationship Id="rId20" Type="http://schemas.openxmlformats.org/officeDocument/2006/relationships/hyperlink" Target="https://ec.europa.eu/home-affairs/sites/homeaffairs/files/e-library/documents/policies/crisis-and-terrorism/report_on_transposition_of_directive_2017.541.on_combatting_terrorism.pdf" TargetMode="Externa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7.png"/><Relationship Id="rId32"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yperlink" Target="https://ec.europa.eu/info/files/communication-commission-eu-security-union-strategy_en" TargetMode="External"/><Relationship Id="rId23" Type="http://schemas.openxmlformats.org/officeDocument/2006/relationships/image" Target="media/image6.png"/><Relationship Id="rId28" Type="http://schemas.openxmlformats.org/officeDocument/2006/relationships/hyperlink" Target="https://ec.europa.eu/social/vocational-skills-week/european-vocational-skills-week-2017_en" TargetMode="Externa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hyperlink" Target="https://ec.europa.eu/home-affairs/what-we-do/policies/police-cooperation/operational-cooperation/empact_en" TargetMode="External"/><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image" Target="media/image1.emf"/></Relationships>
</file>

<file path=word/_rels/footnotes.xml.rels><?xml version="1.0" encoding="UTF-8" standalone="yes"?>
<Relationships xmlns="http://schemas.openxmlformats.org/package/2006/relationships"><Relationship Id="rId8" Type="http://schemas.openxmlformats.org/officeDocument/2006/relationships/hyperlink" Target="https://www.europol.europa.eu/publications-documents/exploiting-isolation-offenders-and-victims-of-online-child-sexual-abuse-during-covid-19-pandemic" TargetMode="External"/><Relationship Id="rId13" Type="http://schemas.openxmlformats.org/officeDocument/2006/relationships/hyperlink" Target="https://eeas.europa.eu/sites/eeas/files/2019042019_un-eu_framework_on_counter-terrorism.pdf" TargetMode="External"/><Relationship Id="rId18" Type="http://schemas.openxmlformats.org/officeDocument/2006/relationships/hyperlink" Target="https://frontex.europa.eu/media-centre/news-release/frontex-leads-massive-international-operation-to-find-stolen-cars-and-car-parts-LVLRmE" TargetMode="External"/><Relationship Id="rId3" Type="http://schemas.openxmlformats.org/officeDocument/2006/relationships/hyperlink" Target="https://ec.europa.eu/digital-single-market/en/news/cybersecurity-5g-networks-eu-toolbox-risk-mitigating-measures" TargetMode="External"/><Relationship Id="rId21" Type="http://schemas.openxmlformats.org/officeDocument/2006/relationships/hyperlink" Target="https://data.consilium.europa.eu/doc/document/ST-7623-2020-INIT/en/pdf" TargetMode="External"/><Relationship Id="rId7" Type="http://schemas.openxmlformats.org/officeDocument/2006/relationships/hyperlink" Target="https://ec.europa.eu/futurium/en/security-public-spaces/security-public-spaces-partnership-final-action-plan-0" TargetMode="External"/><Relationship Id="rId12" Type="http://schemas.openxmlformats.org/officeDocument/2006/relationships/hyperlink" Target="https://www.consilium.europa.eu/en/press/press-releases/2020/10/23/joint-press-" TargetMode="External"/><Relationship Id="rId17" Type="http://schemas.openxmlformats.org/officeDocument/2006/relationships/hyperlink" Target="https://wwf.be/fr/wildlife-cybercrime/" TargetMode="External"/><Relationship Id="rId2" Type="http://schemas.openxmlformats.org/officeDocument/2006/relationships/hyperlink" Target="file:///C:\Users\gciavan\Downloads\ReportEUriskassessmentpdf.pdf" TargetMode="External"/><Relationship Id="rId16" Type="http://schemas.openxmlformats.org/officeDocument/2006/relationships/hyperlink" Target="https://ec.europa.eu/anti-trafficking" TargetMode="External"/><Relationship Id="rId20" Type="http://schemas.openxmlformats.org/officeDocument/2006/relationships/hyperlink" Target="https://www.europol.europa.eu/newsroom/news/166-arrested-in-international-crackdown-against-crime-in-southeast-europe" TargetMode="External"/><Relationship Id="rId1" Type="http://schemas.openxmlformats.org/officeDocument/2006/relationships/hyperlink" Target="https://www.enisa.europa.eu/news/enisa-news/enisa-threat-landscape-2020" TargetMode="External"/><Relationship Id="rId6" Type="http://schemas.openxmlformats.org/officeDocument/2006/relationships/hyperlink" Target="https://ec.europa.eu/home-affairs/call-for-proposals-projects-protection-public-spaces-isfp-2019-ag-protect_en" TargetMode="External"/><Relationship Id="rId11" Type="http://schemas.openxmlformats.org/officeDocument/2006/relationships/hyperlink" Target="https://ec.europa.eu/info/policies/justice-and-fundamental-rights/combatting-discrimination/racism-and-xenophobia/eu-code-conduct-countering-illegal-hate-speech-online_en" TargetMode="External"/><Relationship Id="rId5" Type="http://schemas.openxmlformats.org/officeDocument/2006/relationships/hyperlink" Target="https://www.enisa.europa.eu/news/enisa-news/blue-olex-2020-the-european-union-member-states-launch-the-cyber-crisis-liaison-organisation-network-cyclone" TargetMode="External"/><Relationship Id="rId15" Type="http://schemas.openxmlformats.org/officeDocument/2006/relationships/hyperlink" Target="https://eur-lex.europa.eu/legal-content/EN/TXT/PDF/?uri=CELEX:32018R1672" TargetMode="External"/><Relationship Id="rId23" Type="http://schemas.openxmlformats.org/officeDocument/2006/relationships/hyperlink" Target="http://www.r2pris.org/" TargetMode="External"/><Relationship Id="rId10" Type="http://schemas.openxmlformats.org/officeDocument/2006/relationships/hyperlink" Target="https://data.europa.eu/doi10.2837/26288" TargetMode="External"/><Relationship Id="rId19" Type="http://schemas.openxmlformats.org/officeDocument/2006/relationships/hyperlink" Target="https://www.europol.europa.eu/newsroom/news/officers-identify-715-potential-victims-of-labour-exploitation-in-two-pan-european-joint-action-days" TargetMode="External"/><Relationship Id="rId4" Type="http://schemas.openxmlformats.org/officeDocument/2006/relationships/hyperlink" Target="https://ec.europa.eu/digital-single-market/en/news/report-member-states-progress-implementing-eu-toolbox-5g-cybersecurity" TargetMode="External"/><Relationship Id="rId9" Type="http://schemas.openxmlformats.org/officeDocument/2006/relationships/hyperlink" Target="https://covid-eic.easme-web.eu/" TargetMode="External"/><Relationship Id="rId14" Type="http://schemas.openxmlformats.org/officeDocument/2006/relationships/hyperlink" Target="http://eur-lex.europa.eu/legal-content/EN/TXT/?uri=uriserv%3AOJ.L_.2016.119.01.0089.01.ENG&amp;toc=OJ%3AL%3A2016%3A119%3ATOC" TargetMode="External"/><Relationship Id="rId22" Type="http://schemas.openxmlformats.org/officeDocument/2006/relationships/hyperlink" Target="https://www.cepol.europa.eu/sites/default/files/CEPOL_EU_STNA_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6EA8C6-9ED3-457F-8FFA-C9F1E2415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14498</Words>
  <Characters>82645</Characters>
  <Application>Microsoft Office Word</Application>
  <DocSecurity>0</DocSecurity>
  <Lines>688</Lines>
  <Paragraphs>193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2020-12-24T10:30:00Z</dcterms:created>
  <dcterms:modified xsi:type="dcterms:W3CDTF">2020-12-24T10:30:00Z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DocuWrite 4.4.3, Build 20201021</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CP-012</vt:lpwstr>
  </property>
  <property fmtid="{D5CDD505-2E9C-101B-9397-08002B2CF9AE}" pid="8" name="Created using">
    <vt:lpwstr>DocuWrite 4.4.3, Build 20201021</vt:lpwstr>
  </property>
</Properties>
</file>