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630" w:rsidRPr="003A4630" w:rsidRDefault="003A4630" w:rsidP="003A4630">
      <w:pPr>
        <w:spacing w:before="100" w:beforeAutospacing="1" w:after="0" w:afterAutospacing="1" w:line="240" w:lineRule="auto"/>
        <w:jc w:val="center"/>
        <w:rPr>
          <w:rFonts w:eastAsia="Times New Roman" w:cstheme="minorHAnsi"/>
          <w:sz w:val="24"/>
          <w:szCs w:val="24"/>
          <w:lang w:eastAsia="en-GB"/>
        </w:rPr>
      </w:pPr>
      <w:r w:rsidRPr="003A4630">
        <w:rPr>
          <w:rFonts w:eastAsia="Times New Roman" w:cstheme="minorHAnsi"/>
          <w:b/>
          <w:bCs/>
          <w:color w:val="000000"/>
          <w:sz w:val="24"/>
          <w:szCs w:val="24"/>
          <w:lang w:eastAsia="en-GB"/>
        </w:rPr>
        <w:t>РЕШЕНИЕ</w:t>
      </w:r>
    </w:p>
    <w:p w:rsidR="003A4630" w:rsidRPr="003A4630" w:rsidRDefault="003A4630" w:rsidP="003A4630">
      <w:pPr>
        <w:spacing w:before="100" w:beforeAutospacing="1" w:after="100" w:afterAutospacing="1" w:line="240" w:lineRule="auto"/>
        <w:jc w:val="center"/>
        <w:rPr>
          <w:rFonts w:eastAsia="Times New Roman" w:cstheme="minorHAnsi"/>
          <w:sz w:val="24"/>
          <w:szCs w:val="24"/>
          <w:lang w:eastAsia="en-GB"/>
        </w:rPr>
      </w:pPr>
      <w:r w:rsidRPr="003A4630">
        <w:rPr>
          <w:rFonts w:eastAsia="Times New Roman" w:cstheme="minorHAnsi"/>
          <w:b/>
          <w:bCs/>
          <w:color w:val="000000"/>
          <w:sz w:val="24"/>
          <w:szCs w:val="24"/>
          <w:lang w:eastAsia="en-GB"/>
        </w:rPr>
        <w:t>№ 2667</w:t>
      </w:r>
    </w:p>
    <w:p w:rsidR="003A4630" w:rsidRPr="003A4630" w:rsidRDefault="003A4630" w:rsidP="003A4630">
      <w:pPr>
        <w:spacing w:before="100" w:beforeAutospacing="1" w:after="0" w:afterAutospacing="1" w:line="240" w:lineRule="auto"/>
        <w:jc w:val="center"/>
        <w:rPr>
          <w:rFonts w:eastAsia="Times New Roman" w:cstheme="minorHAnsi"/>
          <w:sz w:val="24"/>
          <w:szCs w:val="24"/>
          <w:lang w:eastAsia="en-GB"/>
        </w:rPr>
      </w:pPr>
      <w:r w:rsidRPr="003A4630">
        <w:rPr>
          <w:rFonts w:eastAsia="Times New Roman" w:cstheme="minorHAnsi"/>
          <w:b/>
          <w:bCs/>
          <w:color w:val="000000"/>
          <w:sz w:val="24"/>
          <w:szCs w:val="24"/>
          <w:lang w:eastAsia="en-GB"/>
        </w:rPr>
        <w:t>Варна, 10.03.2025 г.</w:t>
      </w:r>
    </w:p>
    <w:p w:rsidR="003A4630" w:rsidRPr="003A4630" w:rsidRDefault="003A4630" w:rsidP="003A4630">
      <w:pPr>
        <w:spacing w:before="100" w:beforeAutospacing="1" w:after="0" w:afterAutospacing="1" w:line="240" w:lineRule="auto"/>
        <w:jc w:val="center"/>
        <w:rPr>
          <w:rFonts w:eastAsia="Times New Roman" w:cstheme="minorHAnsi"/>
          <w:sz w:val="24"/>
          <w:szCs w:val="24"/>
          <w:lang w:eastAsia="en-GB"/>
        </w:rPr>
      </w:pPr>
      <w:r w:rsidRPr="003A4630">
        <w:rPr>
          <w:rFonts w:eastAsia="Times New Roman" w:cstheme="minorHAnsi"/>
          <w:b/>
          <w:bCs/>
          <w:color w:val="000000"/>
          <w:sz w:val="24"/>
          <w:szCs w:val="24"/>
          <w:lang w:eastAsia="en-GB"/>
        </w:rPr>
        <w:t>В ИМЕТО НА НАРОДА</w:t>
      </w:r>
    </w:p>
    <w:tbl>
      <w:tblPr>
        <w:tblW w:w="7753" w:type="pct"/>
        <w:tblCellSpacing w:w="15" w:type="dxa"/>
        <w:tblCellMar>
          <w:top w:w="15" w:type="dxa"/>
          <w:left w:w="15" w:type="dxa"/>
          <w:bottom w:w="15" w:type="dxa"/>
          <w:right w:w="15" w:type="dxa"/>
        </w:tblCellMar>
        <w:tblLook w:val="04A0" w:firstRow="1" w:lastRow="0" w:firstColumn="1" w:lastColumn="0" w:noHBand="0" w:noVBand="1"/>
      </w:tblPr>
      <w:tblGrid>
        <w:gridCol w:w="9451"/>
        <w:gridCol w:w="4545"/>
      </w:tblGrid>
      <w:tr w:rsidR="003A4630" w:rsidRPr="003A4630" w:rsidTr="003A4630">
        <w:trPr>
          <w:tblCellSpacing w:w="15" w:type="dxa"/>
        </w:trPr>
        <w:tc>
          <w:tcPr>
            <w:tcW w:w="3360" w:type="pct"/>
            <w:vAlign w:val="center"/>
          </w:tcPr>
          <w:p w:rsidR="003A4630" w:rsidRPr="003A4630" w:rsidRDefault="003A4630" w:rsidP="003A4630">
            <w:pPr>
              <w:spacing w:before="100" w:beforeAutospacing="1" w:after="100" w:afterAutospacing="1" w:line="240" w:lineRule="auto"/>
              <w:jc w:val="both"/>
              <w:rPr>
                <w:rFonts w:eastAsia="Times New Roman" w:cstheme="minorHAnsi"/>
                <w:sz w:val="24"/>
                <w:szCs w:val="24"/>
                <w:lang w:eastAsia="en-GB"/>
              </w:rPr>
            </w:pPr>
          </w:p>
        </w:tc>
        <w:tc>
          <w:tcPr>
            <w:tcW w:w="1608" w:type="pct"/>
          </w:tcPr>
          <w:p w:rsidR="003A4630" w:rsidRPr="003A4630" w:rsidRDefault="003A4630" w:rsidP="003A4630">
            <w:pPr>
              <w:spacing w:before="600" w:after="600" w:line="240" w:lineRule="auto"/>
              <w:rPr>
                <w:rFonts w:eastAsia="Times New Roman" w:cstheme="minorHAnsi"/>
                <w:sz w:val="24"/>
                <w:szCs w:val="24"/>
                <w:lang w:eastAsia="en-GB"/>
              </w:rPr>
            </w:pPr>
          </w:p>
        </w:tc>
      </w:tr>
      <w:tr w:rsidR="003A4630" w:rsidRPr="003A4630" w:rsidTr="003A4630">
        <w:trPr>
          <w:tblCellSpacing w:w="15" w:type="dxa"/>
        </w:trPr>
        <w:tc>
          <w:tcPr>
            <w:tcW w:w="3360" w:type="pct"/>
          </w:tcPr>
          <w:p w:rsidR="003A4630" w:rsidRPr="003A4630" w:rsidRDefault="003A4630" w:rsidP="003A4630">
            <w:pPr>
              <w:spacing w:before="600" w:after="600" w:line="240" w:lineRule="auto"/>
              <w:jc w:val="right"/>
              <w:rPr>
                <w:rFonts w:eastAsia="Times New Roman" w:cstheme="minorHAnsi"/>
                <w:sz w:val="24"/>
                <w:szCs w:val="24"/>
                <w:lang w:eastAsia="en-GB"/>
              </w:rPr>
            </w:pPr>
          </w:p>
        </w:tc>
        <w:tc>
          <w:tcPr>
            <w:tcW w:w="1608" w:type="pct"/>
          </w:tcPr>
          <w:p w:rsidR="003A4630" w:rsidRPr="003A4630" w:rsidRDefault="003A4630" w:rsidP="003A4630">
            <w:pPr>
              <w:spacing w:before="600" w:after="600" w:line="240" w:lineRule="auto"/>
              <w:rPr>
                <w:rFonts w:eastAsia="Times New Roman" w:cstheme="minorHAnsi"/>
                <w:sz w:val="24"/>
                <w:szCs w:val="24"/>
                <w:lang w:eastAsia="en-GB"/>
              </w:rPr>
            </w:pPr>
          </w:p>
        </w:tc>
      </w:tr>
    </w:tbl>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Производството е по реда на чл.145 и следващите от Административнопроцесуалния кодекс /АПК/, вр. чл.68 ал.1 от Закона за защита от дискриминация /ЗЗДискр/.</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Образувано е по </w:t>
      </w:r>
      <w:bookmarkStart w:id="0" w:name="_Hlk191477155"/>
      <w:r w:rsidRPr="003A4630">
        <w:rPr>
          <w:rFonts w:eastAsia="Times New Roman" w:cstheme="minorHAnsi"/>
          <w:sz w:val="24"/>
          <w:szCs w:val="24"/>
          <w:lang w:eastAsia="en-GB"/>
        </w:rPr>
        <w:t>жалба на К. Т. К., от гр.Варна, чрез пълномощник – адв. Цв. Р., против Решение № 279/04.10.2024г. на Комисията за защита от дискриминация, Петчленен разширен заседателен състав, с което: І. е установено по отношение на Д. М. Л., осъществена от К. дискриминация под формата на „тормоз“ на основата на признаци „религия“, „етническа принадлежност“ и „произход“ по чл.4 ал.1 от ЗЗДискр; ІІ. дадено е задължително предписание на К. на осн.чл.47 ал.4 от ЗЗдискр да премахне от неговия Фейсбук профил на разгледаните в производството шест публикации, както и да извърши филтър на направените коментари и да премахне тези от тях, които са дискриминационни и въплъщават слово на омраза; ІІІ. дадена е препоръка на Костаднов на основание чл.47 т.6 от ЗЗДискр да се въздържа от изявления по адрес на Д. М. Л., представляващи „тормоз“ на основата на признаци „религия“, „етническа принадлежност“ и „произход“.</w:t>
      </w:r>
      <w:bookmarkEnd w:id="0"/>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В жалбата се поддържа, че решението е незаконосъобразно, немотивирано, неясно и неправилно, постановено при нарушение на приложение на материалния закон и при допуснато нарушение на формата. Моли се същото да се отмени на сочените основания. Конкретно се сочи, че съставът на КЗД не е обсъдил всички събрани и относими доказателства; налице е несъответствие между мотивите и диспозитива на решението; органът е интерпретирал релевантните към случая факти неправилно, което от своя страна е довело и до нарушения на материалния закон. Твърди се, че в решението не е посочено кои конкретно действия или бездействия са осъществени от К. К., които да представляват тормоз по смисъла на закона спрямо Д. Л.. Страната счита, че: не са налице доказателства установяващи приетото от органа поведение; Не са доказани и всички кумулативнио изискуеми от закона предпоставки за да е налице </w:t>
      </w:r>
      <w:r w:rsidRPr="003A4630">
        <w:rPr>
          <w:rFonts w:eastAsia="Times New Roman" w:cstheme="minorHAnsi"/>
          <w:sz w:val="24"/>
          <w:szCs w:val="24"/>
          <w:lang w:eastAsia="en-GB"/>
        </w:rPr>
        <w:lastRenderedPageBreak/>
        <w:t>дискриминация по посочените признаци, като липсата на такива води до несъставомерност; В решението е налице противоречие между мотиви и диспозитив. На изложените основания се настоява за отмяна на решението и присъждане на сторените по делото разноски.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съдебно заседание жалбоподателят не се явява и не се представлява. С молба с.д. № 2304/10.02.2025 г. жалбата се поддържа в нейната цялост и се моли за отмяна на постановеното решение, като незаконосъобразно, немотивирано, неясно, като допълнително се твърди, че решението е постановено от орган с изтекъл мандат, което прави произнасянето нищожно. Останалите развити съображения са идентични с тези по жалбата, като по същество се моли за уважаването й.</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Ответната страна – Комисия за защита от дискриминация, в съпроводително писмо вх. док. 16659/12.11.2024г. и в съдебно заседание, чрез процесуален представител - О. К. на длъжност „регионален представител на КЗД“, с юридическо образование и правоспособност, оспорва жалбата в цялост като неоснователна и недоказана. По съществото на спора изразява становище, че решението е постановено от компетентен орган, в предвидената от закона писмена форма. При постановяването му са съобразени всички събрани доказателства, установени са релевантните факти и правилно е приложен материалния закон, като е прието наличие на дискриминация по посочения признак. Моли за отхвърляне на жалбата като необоснована и недоказана. Претендира присъждане на юрисконсултско възнаграждение.</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Заинтересованата страна Д. М. Л., не се явява и не се представлява. В депозирани чрез пълномощник - адв. Д. Д. писмени становища от 23.12.2024г. и от 11.2.2025г. жалбата се оспорва като се излагат подробни съображения за неоснователност на наведените в същата възражения. Твърди се, че на практика обстоятелството, че жалбоподателят е автор на процесните изявления не се оспорва от него; В жалбата не се сочи конкретно доказателство, което да е събрано и относимо, но да не е обсъдено в решението; Публикациите и видеообръщенията са директно и конкретно насочени срещу личността на Д. Л.. Поддържа се, че оспореното решение е правилно, мотивирано, ясно и законосъобразно, постановено в съответствие с материалния закон. Твърдят се последващи публични изявления на К. К., че „.решението на КЗД не е легитимно и той в никакъв случай няма да премахне публикациите си..“. По същество се иска отхвърляне на жалбата.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b/>
          <w:bCs/>
          <w:i/>
          <w:iCs/>
          <w:sz w:val="24"/>
          <w:szCs w:val="24"/>
          <w:u w:val="single"/>
          <w:lang w:eastAsia="en-GB"/>
        </w:rPr>
        <w:t>По допустимостта на жалбата: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Жалбата е депозирана пред компетентния съд, от активно процесуално легитимирано лице, чиито права и законни интереси са засегнати от оспорeния административен акт. Потестативното право на жалба е реализирано в рамките на законоустановения 14-дневен преклузивен срок по чл.149 ал.1 от АПК, във връзка с чл.68 ал.1 от ЗЗДискр /Решение № 279/04.10.2024 г. на КЗД е връчено на процесуалния представител на жалбоподателя на 10.10.2024 г., което е удостоверено от саморъчно положения подпис върху приложеното на стр.375 от адм. преписка известие за </w:t>
      </w:r>
      <w:r w:rsidRPr="003A4630">
        <w:rPr>
          <w:rFonts w:eastAsia="Times New Roman" w:cstheme="minorHAnsi"/>
          <w:sz w:val="24"/>
          <w:szCs w:val="24"/>
          <w:lang w:eastAsia="en-GB"/>
        </w:rPr>
        <w:lastRenderedPageBreak/>
        <w:t xml:space="preserve">доставяне, а жалбата до съда е подадена на 24.10.2024 г. видно от поставения върху нея печат на КЗД – стр.4 от делото/, с оглед на което съдът приема, че жалбата, инициирала настоящото производство, е </w:t>
      </w:r>
      <w:r w:rsidRPr="003A4630">
        <w:rPr>
          <w:rFonts w:eastAsia="Times New Roman" w:cstheme="minorHAnsi"/>
          <w:b/>
          <w:bCs/>
          <w:sz w:val="24"/>
          <w:szCs w:val="24"/>
          <w:lang w:eastAsia="en-GB"/>
        </w:rPr>
        <w:t>процесуално допустима</w:t>
      </w:r>
      <w:r w:rsidRPr="003A4630">
        <w:rPr>
          <w:rFonts w:eastAsia="Times New Roman" w:cstheme="minorHAnsi"/>
          <w:sz w:val="24"/>
          <w:szCs w:val="24"/>
          <w:lang w:eastAsia="en-GB"/>
        </w:rPr>
        <w:t xml:space="preserve"> и подлежи на разглеждане по същество </w:t>
      </w:r>
      <w:r w:rsidRPr="003A4630">
        <w:rPr>
          <w:rFonts w:eastAsia="Times New Roman" w:cstheme="minorHAnsi"/>
          <w:b/>
          <w:bCs/>
          <w:sz w:val="24"/>
          <w:szCs w:val="24"/>
          <w:lang w:eastAsia="en-GB"/>
        </w:rPr>
        <w:t>в частта</w:t>
      </w:r>
      <w:r w:rsidRPr="003A4630">
        <w:rPr>
          <w:rFonts w:eastAsia="Times New Roman" w:cstheme="minorHAnsi"/>
          <w:sz w:val="24"/>
          <w:szCs w:val="24"/>
          <w:lang w:eastAsia="en-GB"/>
        </w:rPr>
        <w:t>, в която се оспорва Решението по т.І и т.ІІ, имащи белези на индивидуален административен акт.</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Не така обаче стои въпросът с т.ІІІ от Решението, в която на К. на осн. чл.47 т.6 от ЗЗДискр е дадена препоръка занапред да се въздържа от изявления по адрес на Д. М. Л., представляващи „тормоз“ на основата на признаци „религия“, „етническа принадлежност“ и „произход“. Съобразно установената практика на ВАС по прилагане на тази разпоредба, дадените препоръки нямат задължителен характер, а са част от правомощията на КЗД за обща превенция против дискриминация. Независимо от това, че изхождат от административен орган, препоръките не представляват властническо волеизявление и съответно нямат обвързваща сила по отношение на субектите, към които са насочени. Съобразяването от адресата, с дадените препоръки, е предоставено изцяло на неговата воля. Препоръките по чл. 47 т. 6 от ЗЗДискр не са принудителни административни мерки, нямат правнообвързващ ефект и за изпълнението им не е предвидена държавна принуда. Препоръките не представляват и санкция за техния адресат, а изпълняват превантивна функция, свързана с правомощието на КЗД да осъществява контрол по спазване на антидискриминационното законодателство. С тях не се създават права или задължения за адресата, нито се засягат негови права, свободи или законни интереси, поради което за разлика от предписанията по чл. 47 т. 4 от ЗЗДискр., дадените от КЗД препоръки не подлежат на съдебно обжалване. /В този смисъл решение № 9242/20.10.2022 г. по адм. дело № 4689/2022 г. на ВАС, V о., Решение № 7873 от 25.06.2024 г. на ВАС по адм. д. № 12307/2023 г., V о./. По изложените съображения в частта й, насочена срещу т. III от Решение № 279 от 04.10.2024 г. на КЗД жалбата се явява недопустима, поради което същата на основание чл. 159 т. 1 от АПК следва да бъде оставена без разглеждане, а образуваното по нея в тази част производство – прекратено.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b/>
          <w:bCs/>
          <w:i/>
          <w:iCs/>
          <w:sz w:val="24"/>
          <w:szCs w:val="24"/>
          <w:u w:val="single"/>
          <w:lang w:eastAsia="en-GB"/>
        </w:rPr>
        <w:t>По основателността на жалабта: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Представените по делото писмени доказателства обуславят следната фактическа обстановка: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Производството пред КЗД е започнало по жалба вх. № 44-00-821/27.02.2023 г. /стр.2 от адм. преписка/ и приложения към нея /стр.3-57/, подадени от Д. М. Л. от гр. София, срещу К. К. - лидер на партия „Възраждане“, с изложени оплаквания за нарушение на ЗЗДискр под формата на „тормоз“ по защитените съгласно чл. 4, ал. 1 от ЗЗДискр признаци „религия“, „етнически принадлежност“ и „произход“, доколкото в публикации във Фейсбук, К. е използвал по отношение на Л., като политик с еврейски произход, антисемитски термини и изображения, внушаващи негативни стереотипи за евреите. С писмо с вх. № 44-00-1930/19.05.2023г. е постъпило допълнение към първоначалната жалба /стр.77/, в което е направено уточнението, че посочените в приложения 1, 2 и 3 обидни квалификации и изображения имат характеристиките на </w:t>
      </w:r>
      <w:r w:rsidRPr="003A4630">
        <w:rPr>
          <w:rFonts w:eastAsia="Times New Roman" w:cstheme="minorHAnsi"/>
          <w:sz w:val="24"/>
          <w:szCs w:val="24"/>
          <w:lang w:eastAsia="en-GB"/>
        </w:rPr>
        <w:lastRenderedPageBreak/>
        <w:t>съвременен антисемитизъм съобразно работното определение на Международния алианс за възпоминание на Холокоста, прието от България през 2017г.</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С Разпореждане № 172/07.03.2023 г. на Председателя на КЗД /стр.58-59/ е образувана преписка № 53/2023 г., като същата е разпределена за разглеждане на Петчленен състав при КЗД и са определени неговите членове. Посочено е, че в жалбата на Д. Л. са изложени оплаквания за дискриминация по признаци „религия“, „етническа принадлежност“ и „произход“ по чл.4 ал.1 от ЗЗДискр.</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На заседание на състава на КЗД, определен с Разпореждане № 172/07.03.2023 г. на Председателя на КЗД, са определени председател и докладчик по преписката /стр.62/.</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С Разпореждане № 295/07.04.2023 г. на Председателя на КЗД /стр.63/ е определен служител, който да извърши необходимите действия, свързани с проучването на преписката.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За образуване на преписката надлежно са уведомени подателят на жалбата Д. М. Л. /стр.60/, който депозирал уведомително писмо /стр.77-78 /, и К. Т. К. /стр.98-100/, от когото е депозирано писмено становище по жалбата /стр.102-107/, с мнение за нейната неоснователност.</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С Разпореждане № 542/25.07.2023г. на Председателя на КЗД /стр.101/ и във връзка с направен отвод с вх. № 12-11-1343/19.07.2023г. на член от състава – П. К., е изменен съставът на петчленния разширен заседателен състав, като на мястото на отвелия се член е вписана С. Й..</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От докладчика по преписка № 53/2023 г. е изготвен Доклад-заключение /стр.108-114/, в който подробно са описани твърденията в жалбата и в писмените становища, и е направено предложение за насрочване на открито заседание за разглеждане на преписката с призоваване на страните.</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С постъпила писмена молба вх. № 44-00-134 от 16.01.2024г. /л.137-173/ от Д. М. Л., депозирана чрез упълномощен от него адвокат, е отправено искане да се коригира доклада-заключение, като Комисията следва да установи релевираните нарушения на антидискриминационното законодателство – тормоз, подпомагане на тормоз и на подбуждане към дискриминация по смисъла на чл. 5, вр. с §1 т.1 и т. 5 от ЗЗДискр; да задължи ответника да се въздържа в бъдеще от по-нататъшни нарушения като извършените; да наложи на ответника глоба и да го задължи да публикува актовете, с които се установява извършената от него дискриминация в неговите страници и профили в социалните мрежи, вкл. във Фейсбук. В подкрепа на горните искания с молбата са представени допълнителни публикации на К. К..</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С постъпили писмени молби вх. №44-00-149 от 17.01.2024г. /стр.174-230/ и вх. № 44-00-160/17.01.2024г. /стр.234-246/ от Д. М. Л., депозирани чрез упълномощен от него адвокат, се представят допълнителни публикации на ответника в социалните мрежи с публикувани коментари към тях.</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lastRenderedPageBreak/>
        <w:t>Страните са редовно призовани за проведеното на 17.01.2024 г. открито заседание на състава на КЗД, резултатите от които са обективирани в протокол от същата дата /стр.247-260/. Същите са участвали в производството чрез представители по пълномощие, и са направили доказателствения искания, уважени от решаващия състав на КЗД. В изпълнение на дадените указания от Комисията от процесуалният представител на жалбоподателя е постъпила писмена молба вх. № 44-00-307/29.01.2024г., в която е уточнен петитума на първоначално подадената жалба /стр.264/, като се посочва, че жалбоподателят не поддържа квалификацията на извършените от К. деяния като „пряка дискриминация“, а релевира извършването на дискриминация под формата на тормоз, по смисъла на чл. 5, вр. с §1 т. 1 от ДР на ЗЗДискр.</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От своя страна К. К., чрез процесуалния си представител в писмено становище вх. № 60-00-3 от 31.01.2024г. /стр.266-284/ оспорва допълнително наведените от жалбоподателя Л възражения и представя разпечатки от електронни печатни издания, съдържащи позиции по теми, свързани с релевирания от последния антисемитизъм на ПП „Възраждане“.</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съответствие с изискванията на чл. 60 ал.1 от ЗЗДискр и чл. 26 от ППКЗД и с оглед постъпилите допълнителни молби и уточнения от страните, от докладчика по преписката е изготвен Доклад-заключение - допълнение /стр.312-319/, в който е направено предложение Комисията да приобщи всички молби, становища и уточнения към първоначално изготвения доклад-заключение като горепосочените документи и доказателства следва да бъдат ценени с окончателния акт по преписката.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проведено второ заседание на Комисията на 17.04.2024г., изготвеният доклад-заключение и допълнението към него са приети и приобщени като доказателство по преписката, като са инкорпорирани и коментарите под публикациите във Фейсбук част от доклада-заключение /стр.329-339 от адм. преписка/.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Административното производство е финализирано с Решение № 279/04.10.2024 г. на КЗД, Петчленен разширен заседателен състав, с което е установено, че К. Т. К. чрез индивидуализираните в рамките на производството шест публикации, налични на официалния му фейсбук профил и липсата на филтриране на коментари към тях, съдържащи слово на омраза, е осъществил нарушение на ЗЗДискр под формата на „тормоз“ на основата на признаци „религия“, „етническа принадлежност“ и „произход“ по чл. 4 ал. 1 от ЗЗДискр. На основание чл. 47 т. 4 от ЗЗДискр на К. Т. К. е дадено задължително предписание да премахне от фейсбук профила си разгледаните шест публикации /или тези от тях, които са налични в него към датата на произнасянето му/, както и извършването на филтър върху направените към тях коментари и премахне тези от тях, които са дискриминационни и въплъщават слово на омраза. На основание чл. 47 т. 6 от ЗЗДискр на К. Т. К. е дадена препоръка занапред да се въздържа от изявления по адрес на Д. М. Л., представляващи „тормоз“ на основата на признаци „религия“, „етническа принадлежност“ и „произход“. На основание чл.67 ал.2 от ЗЗДискр, комисията е определила едномесечен срок, в който адресатът на принудителните административни мерки да предприеме действия за изпълнението им и писмено да уведоми Комисията за защита от дискриминация.</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lastRenderedPageBreak/>
        <w:t>В мотивите към Решението е посочено, че по преписката са изложени факти и са приложени убедителни доказателства, въз основа на които може да се направи извод, че е налице дискриминация, проявена от К. Т. К. спрямо Д. М. Л., доколкото К. със своето поведение, изразяващо се в публикуването на шестте материала във фейсбук профила си, както и с липсата на филтриране на коментарите под тях е предизвикал създаването на среда, провокираща неприязнено чувство на враждебност, отхвърляне и омраза към Д. М. Л., разрастваща се с акумулирането на последователи в създадените за него представи и увеличаването на коментарите в този дух. Прието е, че в случая е неглижирана ролята на публичната функция на политик със съответните му механизми за въздействие, като К. Т. К. е направил съответните публикации, съзнателно пренебрегвайки премахването на коментари, съдържащи реч на омразата в неговия профил във Фейсбук. С тези си действия и бездействия К. Т. К. е осъществил нарушение на ЗЗДискр под формата ва „тормоз“ по смисъла на чл. 5, вр. с § 1 т. 1 от ДР на ЗЗДискр по признак „религия“, „етническа принадлежност“ и „произход“.</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При така установената фактическа обстановка, съдът достигна до следните правни изводи: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i/>
          <w:iCs/>
          <w:sz w:val="24"/>
          <w:szCs w:val="24"/>
          <w:lang w:eastAsia="en-GB"/>
        </w:rPr>
        <w:t>Относно валидността на акта /компетентност и форма/</w:t>
      </w:r>
      <w:r w:rsidRPr="003A4630">
        <w:rPr>
          <w:rFonts w:eastAsia="Times New Roman" w:cstheme="minorHAnsi"/>
          <w:sz w:val="24"/>
          <w:szCs w:val="24"/>
          <w:lang w:eastAsia="en-GB"/>
        </w:rPr>
        <w:t>:</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Обжалваният административен акт е издаден от компетентен административен орган – състав на КЗД, на когото е разпределена преписката с Разпореждане № 542/25.07.2023 г. на Председателя на КЗД, съгласно изискванията на чл. 54 от ЗЗДискр. Решението е подписано единодушно от членовете на заседателния състав съобразно нормата на чл. 64 от ЗЗДискр. Същото е издадено в съответствие със законовите изисквания относно формата и съдържанието му съгласно разпоредбата на чл. 66 от ЗЗДискр.</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Не може да бъде споделено направеното в писменото становище на жалбоподателя от 10.02.2025г. възражение за нищожност на оспореното Решение, тъй като е постановено от членове на Комисията, чиито мандат е изтекъл. Действително, общоизвестен факт е, че всички девет члена, формиращи състава на колективния орган за защита от дискриминация, са избрани от Народното събрание или назначени от Президента на Република България, съответно с решение на XLIV народно събрание от 28 юли 2017 г. и укази на президента от 4 август 2017 г. Т.е. петгодишният мандат на членовете на КЗД, установен в чл. 41 ал. 2 от ЗЗДискр., е изтекъл през 2022 година.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Независимо от горното настоящата инстанция намира, че в случая от съществено значение са съображенията за съдържателното естество на правомощията, възложени на КЗД, като единствен специализиран административен орган за защита срещу всички форми на дискриминация, които имат приоритет пред времевите граници, в които тези пълномощия са дадени. КЗД е колективен административен орган, учреден в изпълнение на задълженията на страната като държава-член на Европейския съюз. Нормата на чл. 41 ал. 2 от ЗЗДискр предвижда срок на мандата на членовете на Комисията пет години, а не мандат на колективния орган КЗД. В същото време КЗД функционира като колективен административен орган, който заседава в тричленни или петчленни състави по възложените й от ЗЗДискр производства. Правомощията на КЗД </w:t>
      </w:r>
      <w:r w:rsidRPr="003A4630">
        <w:rPr>
          <w:rFonts w:eastAsia="Times New Roman" w:cstheme="minorHAnsi"/>
          <w:sz w:val="24"/>
          <w:szCs w:val="24"/>
          <w:lang w:eastAsia="en-GB"/>
        </w:rPr>
        <w:lastRenderedPageBreak/>
        <w:t>по цитирания закон за защита на лица, пострадали от дискриминация, са й възложени именно в качеството й на колективен орган. Ако се приеме, че изтичането на персоналните мандати на членовете на Комисията е еквивалентно на изтичане на мандата на колективния административен орган, ще се стигне до противоречие с основния принцип на държавно устройство за стабилност на държавните институции и в същото време, не на последно място, до невъзможност за реализиране на конституционно установеното право на гражданите на ефективна защита срещу нарушаване на забраната за дискриминация и правата на човека. Ето защо е налице законосъобразна форма на удължаване на мандата й, т. к. колективният орган не може да упражнява съдържателните си функции, установени в Конституцията и ЗЗДискр, без да е налице нейният персонален състав. В случая като критерий следва да се вземат предвид демократичните ценности - стабилно функциониране на правовата държава, защита правата на гражданите и изискването за правна сигурност и предвидимост.</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Горният извод следва и от утвърденото правно понятие за мандата като особена публична служба в интерес и в полза на обществото за определен срок; макар стриктно тълкувано срокът на персоналните мандати да е изтекъл, в интерес и в полза на обществото е осъществяването на функциите на КЗД в настоящия състав да продължи. Формирането на нов персонален състав на КЗД е в компетентността на учредителите на мандата, Народното събрание и Президента, поради което неупражняването на правомощията за избор, съответно назначаване на нови членове от цитираните държавни институции, означава конклудентно изразена воля за удължаване на мандата на Комисията в публичен интерес (в подкрепа на изложеното е Решение № 13 от 15.12.2010 г. на Конституционния съд по к. д. № 12/2010 г.).</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i/>
          <w:iCs/>
          <w:sz w:val="24"/>
          <w:szCs w:val="24"/>
          <w:lang w:eastAsia="en-GB"/>
        </w:rPr>
        <w:t>Относно процесуалната законосъобразност на акта</w:t>
      </w:r>
      <w:r w:rsidRPr="003A4630">
        <w:rPr>
          <w:rFonts w:eastAsia="Times New Roman" w:cstheme="minorHAnsi"/>
          <w:sz w:val="24"/>
          <w:szCs w:val="24"/>
          <w:lang w:eastAsia="en-GB"/>
        </w:rPr>
        <w:t>:</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хода на административното производство не са допуснати съществени нарушения на административнопроизводствените правила, които да са самостоятелно основание за отмяна на акта. Производството пред КЗД е образувано въз основа на подадена от Д. М. Л. жалба и допълнение към нея. За изясняване на фактическата обстановка е извършена процедура по проучване по смисъла на чл.55 от ЗЗДискр. Изискани са становища и обяснения по посочените от жалбоподателя оплаквания в производството по реда на чл.55–59 от ЗЗДискр. Дадена е възможност за представяне на доказателства. В съответствие с чл.60, ал.1 от ЗЗДискр докладчикът е изготвил доклад-заключение. Предоставена е възможност на жалбоподателя да се запознае със събраните по делото доказателства, като същият е уведомен за насрочените за 17.01.2024 г. и на 17.04.2024 г. открити заседания на състава на КЗД, в които е участвал чрез упълномощен от него адвокат.</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Относно съответствието на заповедта с материалноправните разпоредби и с целта на закона съдът приема следното: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Предмет на оспорване в настоящото съдебно производство е Решение № 279/04.10.2024г. на Комисията за защита от дискриминация, Петчленен разширен заседателен състав, с което по отношение на Д. М. Л., е установена осъществена от К. дискриминация под формата на „тормоз“ на основата на признаци „религия“, </w:t>
      </w:r>
      <w:r w:rsidRPr="003A4630">
        <w:rPr>
          <w:rFonts w:eastAsia="Times New Roman" w:cstheme="minorHAnsi"/>
          <w:sz w:val="24"/>
          <w:szCs w:val="24"/>
          <w:lang w:eastAsia="en-GB"/>
        </w:rPr>
        <w:lastRenderedPageBreak/>
        <w:t>„етническа принадлежност“ и „произход“ по чл.4 ал.1 от ЗЗДискр, като е дадено задължително предписание на К. на осн.чл.47 ал.4 от ЗЗдискр да премахне от неговия фейсбук профил на разгледаните в производството шест публикации, както и да извърши филтър на направените коментари и да премахне тези от тях, които са дискриминационни и въплъщават слово на омраза и е дадена препоръка на Костаднов на основание чл.47 т.6 от ЗЗДискр да се въздържа от изявления по адрес на Д. М. Л., представляващи „тормоз“ на основата на признаци „религия“, „етническа принадлежност“ и „произход“.</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Законът за защита от дискриминация регламентира забрана на всяка пряка или непряка дискриминация, основана на някои от признаците, визирани в чл.4 ал.1 и квалифицира като дискриминация тормозът на основа на тези признаци, сексуалният тормоз, подбуждането към дискриминация, преследването и расовата сегрегация, както и изграждането и поддържането на архитектурна среда, която затруднява достъпа на лица с увреждания до публични места /чл.5 от ЗЗДискр/. По смисъла на §1 т.1 от ДР на ЗЗДискр "тормоз" е всяко нежелано поведение на основата на признаците по чл. 4 ал. 1,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 Разпоредбата на чл. 5 от ЗЗДискр изрично предвижда, че тормозът на основа на признаците по чл. 4 ал. 1 се смята за дискриминация. Защитените признаци са легално дефинирани лични/обществени качества, присъщи на дадено лице/субект, което наличие е изключено ex lege да бъде предпоставка за различно третиране на това лице с оглед реализиране на негови права или изпълнение на задължения, в сравнение с друго лице, у което тези качества отсъстват. В хипотезата на тормоз не е необходим случай за сравнение, тъй като самият тормоз по естеството си е правонарушение, обективирано в различни форми и имащо за последица негативно въздействие върху личността. Тормозът може да се прояви под различни форми, но във всички случаи тяхната проява следва да засяга някой от защитените признаци. В конкретния случай като защитени признаци се визират „религия“, "етническа принадлежност" и „произход“.</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Видно от горното дефинираните в § 1 т. 1 от ДР на ЗЗДискр. елементи на осъществяването на тормоз, включени във фактическият състав са: 1.) изпълнително деяние - действие или бездействие на определено лице спрямо друго лице, 2.) защитен признак по чл. 4, ал. 1 от ЗЗДискр., 3.) цел или резултат - накърняване достойнството на лицето, респективно създаване на враждебна, принизяваща, унизителна, обидна или застрашителна среда и 4.) причинно-следствена връзка между тях. Следователно фактическият състав на тази форма на дискриминация предполага от страна на дискриминиращия субект наличие на нежелано поведение, свързано с някой от защитените признаци по чл. 4, ал. 1 ЗЗДискр., целящо да предизвика настъпване като резултат на негативни последици, или съответно предизвикало като резултат настъпването на такива последици, изразени в накърняване на достойнството и създаване на нежелана в отрицателен аспект среда, по отношение на лице /обект на тормоза/, което от своя страна следва да е носител на защитен признак. Неправомерният диференциран подход към дадено лице или определен кръг лица трябва да е обвързан от признак по чл. 4 ал.1 от ЗЗДискр. и в този смисъл, не е достатъчно да се установи неблагоприятно третиране на определено лице или лица, а е </w:t>
      </w:r>
      <w:r w:rsidRPr="003A4630">
        <w:rPr>
          <w:rFonts w:eastAsia="Times New Roman" w:cstheme="minorHAnsi"/>
          <w:sz w:val="24"/>
          <w:szCs w:val="24"/>
          <w:lang w:eastAsia="en-GB"/>
        </w:rPr>
        <w:lastRenderedPageBreak/>
        <w:t>необходимо да се докаже още, че това неблагоприятно третиране е извършено по някой от признаците, очертани в чл. 4 ал. 1 от ЗЗДискр., като следва да е налице и пряка причинно-следствена връзка между неблагоприятното отношение, в случая неблагоприятно третиране, и причината за него, която при всички случаи следва да се изразява в признак по цитирания чл. 4 ал.1 от закона. Конкретно в областта на информацията в публичното и медийно пространство това неравенство би се изразило в публикации, изказвания и други материали, които субективно, невярно и тенденциозно да изопачават, внушават или насаждат унижение или омраза на лице или група лица по етнически и религиозни признаци. Публикацията в социалните мрежи е поведение, изразено словесно, но за да бъде квалифицирано като „тормоз“ е необходимо да се установи дали процесното деяние е целяло или постигнало като резултат създаването на враждебна, обидна или застрашаваща среда и дали е накърнило достойнството на лицето или група лица.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случая съдът намира, че фактическият състав на тормоза е изпълнен като оспореното решение е постановено в съответствие с релевантните фактически установявания и относимите материалноправни разпоредби.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Настоящият състав споделя изцяло изводите на КЗД, че посочените публикации в социалната мрежа Фейсбук /Мета/ имат откровено дискриминационно съдържание и представляват „тормоз“ по смисъла на § 1 т. 1 от ЗЗДискр. В процесните публикации, с които съдът се запозна, чрез посочените препратки, от дата 10.03.2022 г. (“М. Л. се почувствал застрашен на Шипка…”), от дата 05.02.2023 г. (“Вчера правителството на Македония…”), от дата 05.02.2023 г. (“Харесвате ли Д. Л.?” – тази публикация съдържа колаж, изобразяващ жалбоподателя като влечуго и хипервръзка към видеоклип, съдържащ монолог на ответника, публикуван в YouTube), от дата 26.03.2023 г. (“Изводите след снощните дебати…”), от дата 01.06.2023 г. (Днес един самозабравил се нагъл тип, Д. Л.р”) и от дата 18.07.2023 г. (“Много внимавайте, когато говорите по адрес на лицето Л.…”) името на Д. Л. е посочено многократно, като всичките публикации директно са насочени към личността на заинтересованото лице. Публикуваните материали и коментарите под тях съдържат епитети с утвърдена негативна семантика, унижаващи достойнството на Л., вкл. съдържащи антисемитски изявления и призиви за физическа саморазправа с него: “Сапун”, “Абажур”, “...да багодари боклука, че не е линчуван някъде публично някъде”, “Дяволско изчадие”, “много ме е яд, че Х&amp;&amp;лер не е поживял малко повече”, “евреин за пари ще те купи и продаде”, “Начукай канчето на мазния чифут”, “Пътуване до Бухенвалд плюс спа процедури парна баня” и много други. Следва да се посочи, че общият брой коментари под шестте публикации към датата на това Решение възлиза на 1310 коментара, а по отношение на публикувания видеоклип в YouTube, където каналът на К. има 99 000 абонати, а клипът е бил показан 42 хил. пъти, коментарите са 390 броя. Тези внушения спрямо хората с еврейски произход и конкретно спрямо заинтересованото лице неминуемо засягат достойнството му и създават враждебна, принизяваща и обидна среда, от което съдът извежда извод, че публикуваните материали съдържат субективни и тенденциозни внушения и насаждат унижение и подценяване на заинтересованото лице по признаци „етническа принадлежност“, „произход“ и „религия“. Както правилно е приела и КЗД, заявените признаци се извличат от общоизвестния факт, че Л. е евреин и следователно </w:t>
      </w:r>
      <w:r w:rsidRPr="003A4630">
        <w:rPr>
          <w:rFonts w:eastAsia="Times New Roman" w:cstheme="minorHAnsi"/>
          <w:sz w:val="24"/>
          <w:szCs w:val="24"/>
          <w:lang w:eastAsia="en-GB"/>
        </w:rPr>
        <w:lastRenderedPageBreak/>
        <w:t>последовател на юдаизма, като между страните не съществува и спор относно посочените признаци.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От друга страна в случая не е спорно и осъщественото бездействие на К. К. да модерира съдържанието на страницата и профила си във Фейсбук и да премахне коментарите, съдържащи реч на омразата срещу евреите, при това в продължение на продължителен период от време. Процесните публикации и коментарите към тях поставят ударение върху различието, другостта на Л. спрямо хората с български етнически произход, акцентирайки пред аудиторията си върху неговия различен (еврейски) произход: „…чужденец, българомразец, искащ българите и българската държава да изчезнат, чужд агент, национален предател, превърнал държавата в колония..“, приписвайки му призив, че „..българската държава не трябва да се грижи за българите, плюещ храчка в лицето на българския народ…“. В публикациите Д. Л. е представян като антипод на българите и тяхната държава, като човек който презира българите, ненавижда ги, не ги смята за човешки същества и иска да ги унищожи. Процесните изявления са изобилни и с други негативни квалификации: „.нагъл, нагло говорещ, лъжец, самозабравил се нагъл тип, субект, същество, казващ гнусни нагли лъжи, нелицеприятно същество, действащ нагло, с безумие..“. Именно еврейския произход на Л. е определен от К. като причина за неговото негативно отношение към българите. От друга страна като толерира обидните епитети и закани в профила си във Фейсбук, К. създава враждебна, унизителна, обидна и застрашителна среда за Д. Л..</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Вярно е, че според чл. 39 ал. 1 от Конституцията на Република България, всеки има право да изразява мнение и да го разпространява чрез слово - писмено или устно, чрез звук, изображение или по друг начин, а според чл. 10 от ЕКПЧ всеки има право на свобода на изразяването на мнения. Това право обаче не е абсолютно и може да бъде ограничавано, когато се накърняват правата и доброто име на другиго; призовава се към насилствена промяна на конституционно установения ред, към извършване на престъпления, към разпалване на вражда или към насилие над личността – арг. от чл. 32 ал. 2 от КРБ. Ограничаването на правото да се изразява мнение е допустимо по изключение с цел да се осигури защита на други, също конституционно гарантирани права и ценности, каквито са честта, достойнството и доброто име на личността – чл. 4 ал. 2 и чл. 32 ал. 1 от КРБ и гарантираното право на защита срещу посегателство върху тях. Свободата на словото е ценност на правовата държава и основно човешко право. Без нея обществото не би могло да бъде нито свободно, нито демократично, а човешката личност - свободна. Именно за да защитят свободата на словото и Конституцията, и международните актове, по които България е страна, се създават законови гаранции за неговото спазване. С други думи, правото на свободно изразяване и разпространяване на мнение в рамките на едно демократично общество не може да има превес над правата, защитени с нормите, установяващи забрана за дискриминация, включително такава под формата на тормоз по смисъла на чл. 5, вр. § 1 т. 1 от ДР на ЗЗДискр, изразена чрез употребата на „враждебна реч“, т. нар. реч на „омразата“, с която се накърнява доброто име и достойнството на личността и се създава, като целенасочено преследван или обективно настъпващ резултат, враждебна, принизяваща, унизителна, обидна или застрашителна среда. Изказвания, които накърняват човешкото достойнство и правото на добро име на личността, посредством употребата на стереотипизиран, принизяващ и обиден език, не допринасят за </w:t>
      </w:r>
      <w:r w:rsidRPr="003A4630">
        <w:rPr>
          <w:rFonts w:eastAsia="Times New Roman" w:cstheme="minorHAnsi"/>
          <w:sz w:val="24"/>
          <w:szCs w:val="24"/>
          <w:lang w:eastAsia="en-GB"/>
        </w:rPr>
        <w:lastRenderedPageBreak/>
        <w:t>формиране на демократични мнения и не следва да се ползват от конституционноправната закрила на свободата на словото. От така изложеното следва, че свободата на словото не е абсолютна и същата следва да бъде ограничена тогава, когато се накърнява доброто име и личността на другиго, както е в настоящия случай. В този смисъл и Решение № 16554 от 11.12.2013 г. по адм. дело № 27/2013 г. на ВАС, VII о., Решение № 4328 от 02.04.2018 г. по адм. дело № 70/2017 г. на ВАС, V 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По аналогичен начин стои въпросът за съотношението между свободата на изразяване и конкуриращите я права на личността, признати в чл. 10 § 2 от ЕКПЧ като основание за ограничаване упражняването на тази свобода в интерес на защитата на здравето и морала, репутацията или правата на другите. Европейският съд по правата на човека е имал възможността да аргументира тезата, че необходимостта от защита на изразяването тежи по-малко в демократичното общество от обществения интерес за защита на репутацията и правото на другите да живеят в среда, свободна от дискриминация, както и от необходимостта да бъдат предотвратени евентуални безредици, конфликти и напрежение, породени в резултат на дискриминационни изказвания – Aksu v. Turkey (жалби № 4149/04 и № 41029/04); Vejdeland and Others v. Sweden (жалба № 1813/07); Feret v. Belgium (жалба № 15615/07); Lingurar v. Romania (жалба № 48474/14).</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Във връзка с изложеното, съдът намира, че процесните публикации внушават на читателската аудитория една обща негативна представа спрямо заинтересованото лице, като обратно на заявеното от жалбоподателя тези внушения не се отнасят до политическата дейност на Л., а поставят акцента върху различието, другостта му спрямо хората с български етнически произход, акцентирайки върху неговия различен (еврейски) произход. Нещо повече практиката на Върховния административен съд е последователна във възприемане на становището, че за съставомерността на деянието по смисъла на чл. 5, вр. с § 1 т. 1 от ДР на ЗЗДискр не е наложително с поведението си жалбоподателят да е накърнил достойнството на конкретно определено лице, стига със същото да се засягат интересите на определена социална група, формирана по расов, етнически, религиозен, политически, национален, социален, сексуален или друг защитен от закона признак. Както правилно е прието от КЗД с оглед принципа на субсидиарност при прилагането на ЕКПЧ гореописаната фактическа обстановка попада в приложното поле на чл. 8, връзка с чл. 14 от същата, тъй като правото на добро име в обществото и на лично достойнство са част от правото на личен живот, а липсата на предприети действия целящи премахване на коментарите, от които Д. М. Л. е бил засегнат, се изразява в накърняване правото на ненамеса в него. Проблематичното в случая е и това, че както самите публикации и видео-изявление, така и коментарите, по един интегриран начин обединяват негативните представи за личността на Л., правейки го обект на личностни квалификации и шаблонно коментиране, в основата на което е негова защитена по закон характеристика – неговият произход.</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Отделно от горното съдът споделя извода на КЗД относно приложимостта в настоящия казус и на чл. 8 от ЗЗДискр, който предвижда отговорност и за лицата, съзнателно подпомогнали извършването на актове на дискриминация. Представените доказателства по преписката установяват по безспорен начин знание от страна на К. /предвид дадените отговори/ съдържанието на коментарите под неговите публикации </w:t>
      </w:r>
      <w:r w:rsidRPr="003A4630">
        <w:rPr>
          <w:rFonts w:eastAsia="Times New Roman" w:cstheme="minorHAnsi"/>
          <w:sz w:val="24"/>
          <w:szCs w:val="24"/>
          <w:lang w:eastAsia="en-GB"/>
        </w:rPr>
        <w:lastRenderedPageBreak/>
        <w:t>и непредприемане на каквито и да са действия по премахването или филтрирането им. С това същият е предпоставил създаване на условия за наличие на виртуално пространство, в което се разразява „реч на омраза“. „Езикът на омразата“ няма легална дефиниция във вътрешното ни законодателство. Определението за това е дадено в Препоръка № 20 от 1997 г. на Комитета на министрите на Съвета на Европа за езика на омразата, в приложението към нея, в позиция „обсег“. Според определението в тази препоръка „езикът на омразата“ ще се разбира като обхващащ всички форми на изразяване, които разпространяват, подтикват, насърчават или оправдават расова омраза, ксенофобия, антисемитизъм или други форми на омраза, основаващи се на нетолерантност, включително: нетолерантност, изразяваща се в агресивен национализъм и етноцентризъм, дискриминация и враждебност към малцинствата, преселниците и имигрантите. Тази препоръка има отношение за регламентацията и уреждането на ниво държави-членки на Съвета на Европа на дефиницията „слово на омразата“, както и за мерките, които тези държави трябва да предприемат в борбата със словото на омразата и нетолерантността. Република България е член на Съвета на Европа от 07.05.1992 г. и съответно се явява адресат на тези препоръки с обвързващ характер. Съдът счита за необходимо да посочи, че Република България е обвързана и с препоръките на Комитета за премахване на расовата дискриминация, създаден като международен орган по силата на чл. 8 от Международната конвенция за ликвидиране на всички форми на расова дискриминация, приета от Общото събрание на ООН на 21.12.1965 г., в сила за България от 04.01.1969 г., обнародвана в ДВ бр. 56 от 10.07.1992 г.</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За да се установи „тормоз“ релевантна е специалната цел или резултът на поведението, визирани в § 1, т. 1 от ЗЗДискр - накърняване достойнството на лицето и създаване на враждебна, обидна или застрашителна среда. За дискриминацията по чл. 4 ал. 2 и ал. 3 от ЗЗДискр и за резултатния състав на тормоза умисълът е ирелевантен, докато за формалния състав на тормоза - той е елемент на фактическия състав. И двете форми на дискриминация обаче се основават на защитен признак по смисъла на чл. 4 ал. 1 от ЗЗДискр. В случая степента на осъзнаване, характерът на предвиждането и волевото отношение на К. изключат възможността деецът да се ръководи от недискриминационна цел, която да може да се обсъжда като оправдаваща неблагоприятното третиране или злепоставяне на носителя на защитените признаци. Поради обстоятелството, че изразяването на омраза или ненавист неизбежно поставя адресатите му в по-неблагоприятно положение в публичната комуникация и в социалните отношения, както и поради принадлежността му към родовия институт на подбуждането към дискриминация като вид пряка дискриминация, „словото на омразата“ също е винаги акт на пряка дискриминация. Поради това, и то не може да се оправдава с легитимни законови цели и не зависи от извод за пропорционалност на средствата или действително възникване на неравно третиране. В случая свободата на изразяване се противопоставя на правото на свобода от проповядване на омраза и дискриминация, доколкото публикациите са публични и са със свободен достъп до страницата на К. във Фейсбук, достигнали са до огромен брой хора, върху които са оказали негативно въздействие, публикациите не провокират към публичен дебат, а предизвикват самоцелна омраза и нетърпимост спрямо заинтересованото лице. Във връзка с това съгласно разпоредбата на чл. 9 от ЗЗДискр, в производство за защита от дискриминация, след като страната, която твърди, че е жертва на дискриминация, </w:t>
      </w:r>
      <w:r w:rsidRPr="003A4630">
        <w:rPr>
          <w:rFonts w:eastAsia="Times New Roman" w:cstheme="minorHAnsi"/>
          <w:sz w:val="24"/>
          <w:szCs w:val="24"/>
          <w:lang w:eastAsia="en-GB"/>
        </w:rPr>
        <w:lastRenderedPageBreak/>
        <w:t>докаже факти, от които може да се направи извод, че е налице дискриминация, ответната страна трябва да докаже, че правото на равно третиране не е нарушено. В случая, независимо, че с писмо изх. № 16-17-10/07.02.2024г. от ответника изрично е указано на К. К., че следва да докаже горното, при условията на пълно обратно доказване, това не е сторено.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тази връзка следва да се посочи, че в решението си по делото „Бехар и Гутман срещу България“ (no. 29335/13, ECtHR 2021) ЕСПЧ установява, че „изразяване, което насърчава или оправдава насилие, омраза, ксенофобия или друга форма на нетърпимост, обикновено не може да претендира за защита“ (§ 101 от решението) и „може да е оправдано да се налагат дори сериозни наказателноправни санкции на журналисти или политици при използване на език на омразата или подбуждане към насилие“ (пак там). Като отказват да предоставят защита във връзка с дискриминационни изказвания националните власти не реагират адекватно на дискриминацията на база етническия произход и не изпълняват позитивното си задължение да гарантират зачитането на „личния живот“ на жалбоподателите по делото, които са от еврейски произход (§ 106 от решението).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Според Решение от 15 май 2023 г. на Голямата камара по делото „Санчес срещу Франция“, ЕСПЧ не намира нарушение на правото на свободно изразяване на политик, за това че е глобен с 3000 евро в рамките на наказателно производство за бездействието му да модерира четири коментара (единият от които е изтрит още на следващия ден) с религиозна нетърпимост на други потребители на Фейсбук под негови постове. В решението си по същото дело ЕСПЧ излага общата правна рамка, относима към речта на омразата в интернет и която обхваща актове на Комитета на министрите на Съвета на Европа, Парламентарната асамблея на Съвета на Европа, Европейската комисия срещу расизма и нетолерантността (ЕCRI); Съвета по правата на човека на ООН; Комитета за премахване на расовата дискриминация; правото на Европейския съюз и практиката на Съда на Европейския съюз. Съгласно тази правна рамка речта на омразата може да приеме много форми и не се ограничава до изрично расистки забележки. Речта, атакуваща определени расови или етнически групи, може да използва непряк език, за да прикрие своите цели. Преценката за всеки конкретен случай трябва да включва оценка на съдържанието и формата на речта: дали речта е провокативна и директна, в какъв стил, под каква форма и как е разпространена; позицията на говорещия в обществото и аудиторията, към която е речта насочена. Необходимо е преценката да обхваща още въпросите дали речта е разпространена чрез интернет, както и честотата и степента на комуникация, както и дали повторението (каквото е налице в процесния случай, повдигащ оплаквания във връзка с шест публикации, пет от които в рамките на около половин година) предполага наличието на преднамерена стратегия да поражда враждебност към етнически и расови групи.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В решението си по допустимост по делото Lilliendahl v. Iceland (dec.) (no. 29297/18, ECtHR 2020) ЕСПЧ обобщава, че в практиката му има две измерения на понятието „реч на омразата“: от една страна, най-тежки форми на такава реч, които попадат в хипотезата на чл. 17 на Конвенцията и са напълно лишени от защита по чл. 10, а от друга – по-леки форми, които обаче държавите, страни по Конвенцията, могат легитимно да ограничават. В тази втора категория ЕСПЧ е причислил не само изказвания, които </w:t>
      </w:r>
      <w:r w:rsidRPr="003A4630">
        <w:rPr>
          <w:rFonts w:eastAsia="Times New Roman" w:cstheme="minorHAnsi"/>
          <w:sz w:val="24"/>
          <w:szCs w:val="24"/>
          <w:lang w:eastAsia="en-GB"/>
        </w:rPr>
        <w:lastRenderedPageBreak/>
        <w:t>изрично призовават към насилие или други престъпни действия, но е постановил, че нападенията срещу лица, извършени чрез обиждане, осмиване или клеветничество на определени групи от населението, могат да бъдат достатъчни, за да се позволи на властите да предпочетат борбата с предразсъдъчната реч в контекста на разрешените ограничения на свободата на изразяване (§§ 33–36 от решението).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В решението си по допустимост по делото Lenis v. Greece (no. 47833/20, ECtHR 2023) ЕСПЧ изтъква, че трябва да се вземат предвид използваните думи и контекстът, в който те са били публикувани, с оглед да се определи дали текстовете, взети като цяло, могат да се разглеждат като подбуждане към насилие. ЕСПЧ намира, че изразите, с които се отрича човешката същност на засегнатите, допълнително подсилват заключението за реч на омразата, тъй като е ясно, че тези фрази надхвърлят изразяването на мнение, дори и с обидни, враждебни или агресивни изрази (§§ 46–47 от решението).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Доколкото в случая от съдържанието на процесните публикации и коментари безспорно се установява, че същите представляват реч на омраза, настоящият състав намира, че правилно административният орган приема, че в случая К. К. е осъществил нарушение по чл. 5, във вр. с § 1 т. 1 ДР на ЗЗДискр.</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Допълнително следва да се посочи и това, че както правилно е отбелязано в оспореното Решение, предвид многобройните последователи на фейсбук профила на К., където са поместени публикациите, установеното нарушение на чл. 5, вр. с § 1 т. 1 от ДР на ЗЗДискр. произтича от факта на изявлението чрез визираните публикации, на субективни представи чрез изразни средства с отявлен негативизъм, които са направени обществено достояние. Несъмнено е и влиянието, което изразеното от К. К. оказва върху четящите, видно от негативните коментари към процесните публикации, които илюстрират въздействието на средствата, чрез които е осъществен тормоз. КЗД правилно установява, че въздействието върху аудиторията всъщност е мултиплицирано, като в рамките на дискусията във връзка с всяка една от коментираните публикации е създадена определена среда на негативизъм и неприязненост по отношение на Д. Л., с което той е уязвен предвид наличието на заявените в жалбата признаци. В случая са проблематични както употребената лексика, така и създаването на условия за безпрепятствена първосигнална размяна на коментари с откровено ксенофобски и дискриминационен характер. Следователно видно от горното ясно личи връзката между конкретните действия на К. К. и създаването на негативна среда, провокираща неприязнено чувство на враждебност, отхвърляне и омраза към Д. Л..</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В случая КЗД правилно е акцентирала и върху ролята на К. К. в качеството му на политик за формиране на общественото мнение, както и неговата отговорност в това отношение поради способността му да упражнява влияние върху широка публика. Без съмнение, насърчаването на свободен политически дебат е много важна характеристика на едно демократично общество. Необходими са много сериозни причини, за да се оправдаят ограниченията върху политическата реч. Свободата на политическия дебат обаче не е абсолютна по своята същност. Още повече, че е спорно доколко публикациите, предмет на производството, могат да се квалифицират като част от “политически дебат”, доколкото те не съдържат никакви конкретни предложения, </w:t>
      </w:r>
      <w:r w:rsidRPr="003A4630">
        <w:rPr>
          <w:rFonts w:eastAsia="Times New Roman" w:cstheme="minorHAnsi"/>
          <w:sz w:val="24"/>
          <w:szCs w:val="24"/>
          <w:lang w:eastAsia="en-GB"/>
        </w:rPr>
        <w:lastRenderedPageBreak/>
        <w:t>нито пък критики за конкретни политики, а единствено личностни нападки, обвинения и недоказани интерпретации, съпътствани неизменно от призиви за политическа подкрепа на партията, председателствана от К.. Абсолютният характер на забраната за тормоз не допуска изключения, било то и за лични мнения на публични личности. По принцип всяка публична личност, в това число и представителите на държавната власт и управление, разполагат с по-голям потенциал за влияние, а изказаните от тях мнения се възприемат с по-голяма степен на доверие, достигайки по-бързо и лесно до широката общественост.</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На последно място следва да се посочи, че се явява несъстоятелен и релевираният в жалбата аргумент, че с оспореното решение не се доказва третият елемент от фактическия състав на нарушението, а именно цел или резултат, погрешно формулирани в жалбата на К. кумулативно – като „цел и резултат“. Независимо, че законът изисква наличието на един от двата алтернативно посочени елемента на състава – или цел, или резултат, в случая са налице и двата елемента – К. умишлено е нарушил антидискриминационното законодателство и това се доказва по несъмнен начин от факта, че крайните, ксенофобски и омразни срещу евреите коментари продължават да са публични в профила му във Фейсбук, макар той безспорно да знае за тяхното съществуване. Извън съмнение е и резултатът от неговото поведение – израз на този резултат са антисемитските изказвания на публичната “стена” на К. в социалната мрежа Фейсбук. Следователно, несъстоятелно се явява твърдението в жалбата, че в производството не е установено поведението на К. да има за цел или резултат накърняване достойнството на Д. Л. и създаване на враждебна, обидна и застрашителна среда. В обжалваното решение ясно е очертана причинно-следствената връзка от една страна между поведението на К. К. и създадената за Д. Л. враждебна, унизителна и застрашителна среда, изразено в действия на К. – направените в процесните публикации изявления, съдържащи внушения, свързани с еврейския произход на Д. Л.; а от друга страна, бездействието на К. да премахне коментари към публикациите, съдържащи обидни за евреите епитети и закани.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КЗД е мотивирала заключението си за наличие на нарушение именно с факта, че със своето поведение, изразяващо се в гореописаните действия и бездействия, К. К. е предизвикал създаването на среда, провокираща неприязнено чувство на враждебност, отхвърляне и омраза към Д. Л., разрастваща се с акумулирането на последователи в създадените за него представи и увеличението на коментарите в този дух. Съответно в случая са налице всички елементи от състава на нарушението по чл. 5, вр. §1 т. 1 от ЗЗДискр. КЗД е съобразила нормите на международното право и е постановила решение в съответствие с позитивните задължения на държавата, поради което не може да се твърди, че обжалваното решение е постановено при допуснато нарушение на формата при непълнота на фактически и правни основания и противоречие между мотиви и диспозитив.</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xml:space="preserve">В заключение съдът счита, че доказателствата по делото, в тяхната съвкупност, водят до извод, че с поведението си К. К. е предизвикал чувство на враждебност, отхвърляне и омраза към Д. Л., които се разглеждат в светлината на еврейския му произход и член на еврейската общност в България. Като политик, а и като историк и юрист, К. има специални задължения и отговорности по отношение на речта на </w:t>
      </w:r>
      <w:r w:rsidRPr="003A4630">
        <w:rPr>
          <w:rFonts w:eastAsia="Times New Roman" w:cstheme="minorHAnsi"/>
          <w:sz w:val="24"/>
          <w:szCs w:val="24"/>
          <w:lang w:eastAsia="en-GB"/>
        </w:rPr>
        <w:lastRenderedPageBreak/>
        <w:t>омразата срещу евреите. Тези свои отговорности обаче К. е пренебрегнал, като умишлено е оставил коментари, съдържащи реч на омразата, на „стената“ на своя профил и страница на политик във Фейсбук, като сам е избрал да позволи публикуването на коментари под процесните публикации и да ги направи публично достъпни.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Нещо повече, видно от представените от заинтересованото лице с молбата от 11.02.2025г. изображения на нови публикации на К., които се установяват и на неговия фейсбук – профил, последният не само не се е съобразил с предписанията и препоръките на КЗД по т.ІІ и т.ІІІ, а продължава да създава и разпространява съдържание, представляващо „реч на омразата“ срещу Д. Л., релевираща неговия еврейски произход и идентичност, по начин, който провокира крайни антисемитски и ксенофобски коментари.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Приемайки, че с конкретно изброените публикации в официалния профил на К. К. във Фейсбук, както и с липсата на филтриране на коментарите към тях, жалбоподателят е осъществил нарушение на ЗЗДискр под формата на „тормоз“ по смисъла на чл. 5, във вр. с §1 т. 1 от ДР на ЗЗДискр по признак „религия“, „етническа принадлежност“ и „произход“, КЗД е постановила правилно Решението по т. I, в резултат на което правилно се явява и даденото задължително предписание по т. II на основание чл. 47 т. 4 от ЗЗДискр, като е предписано на К. да премахне от неговия фейсбук профил процесните шест публикации, или тези от тях, които са налични в него, към датата на произнасянето, както и извършването на филтър върху направените към тях коментари и премахване на тези от тях, които са дискриминационни и въплъщават слово на омраза, доколкото тези предписания имат не само възстановителен, но преустановителен и превантивен характер, когато са обвързани с нарушения на ЗЗДискр. или други закони, уреждащи равенство в третирането.</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Макар и неподлежащи на самостоятелно оспорване, обосновани и в рамките на правомощията на КЗД са и дадените на основание чл. 47 т. 6 от ЗЗДискр препоръки. Даването на тези препоръки е наложено именно с оглед постигане целите по чл. 2, т.3 от ЗЗДискр</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По изложените съображения и съобразно извършената съгласно чл. 168 във вр. с чл. 146 от АПК, служебна проверка на законосъобразността на оспореното Решение, съдът намира, че същият е издаден от компетентен орган, в предвидената от закона форма, при изложени подробни мотиви - фактически и правни основания за издаването му, при спазване на административнопроизводствените правила и в съответствие с приложимите материално-правни норми и целта на закона, поради което липсва основание за отмяната му. Жалбата на К. срещу него се явява неоснователна и като такава следва да се отхвърли.</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При този изход на правния спор и на осн. чл. 143 ал. 3 от АПК претенцията на ответната страна за присъждане на разноски е основателна. Те включват дължимо юрисконсултско възнаграждение, което съдът определя в минималния размер от 100.00 лева, съгласно чл. 24 от Наредбата за заплащането на правната помощ във връзка с чл. 78, ал. 8 от ГПК и чл. 37 от Закона за правната помощ.</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lastRenderedPageBreak/>
        <w:t>Воден от горното, съдът</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w:t>
      </w:r>
    </w:p>
    <w:p w:rsidR="003A4630" w:rsidRPr="003A4630" w:rsidRDefault="003A4630" w:rsidP="003A4630">
      <w:pPr>
        <w:spacing w:before="100" w:beforeAutospacing="1" w:after="100" w:afterAutospacing="1" w:line="240" w:lineRule="auto"/>
        <w:ind w:firstLine="709"/>
        <w:jc w:val="center"/>
        <w:rPr>
          <w:rFonts w:eastAsia="Times New Roman" w:cstheme="minorHAnsi"/>
          <w:sz w:val="24"/>
          <w:szCs w:val="24"/>
          <w:lang w:eastAsia="en-GB"/>
        </w:rPr>
      </w:pPr>
      <w:r w:rsidRPr="003A4630">
        <w:rPr>
          <w:rFonts w:eastAsia="Times New Roman" w:cstheme="minorHAnsi"/>
          <w:b/>
          <w:bCs/>
          <w:sz w:val="24"/>
          <w:szCs w:val="24"/>
          <w:lang w:eastAsia="en-GB"/>
        </w:rPr>
        <w:t>Р Е Ш И :</w:t>
      </w:r>
    </w:p>
    <w:p w:rsidR="003A4630" w:rsidRPr="003A4630" w:rsidRDefault="003A4630" w:rsidP="003A4630">
      <w:pPr>
        <w:spacing w:before="100" w:beforeAutospacing="1" w:after="100" w:afterAutospacing="1" w:line="240" w:lineRule="auto"/>
        <w:ind w:firstLine="709"/>
        <w:jc w:val="center"/>
        <w:rPr>
          <w:rFonts w:eastAsia="Times New Roman" w:cstheme="minorHAnsi"/>
          <w:sz w:val="24"/>
          <w:szCs w:val="24"/>
          <w:lang w:eastAsia="en-GB"/>
        </w:rPr>
      </w:pPr>
      <w:r w:rsidRPr="003A4630">
        <w:rPr>
          <w:rFonts w:eastAsia="Times New Roman" w:cstheme="minorHAnsi"/>
          <w:sz w:val="24"/>
          <w:szCs w:val="24"/>
          <w:lang w:eastAsia="en-GB"/>
        </w:rPr>
        <w:t> </w:t>
      </w:r>
    </w:p>
    <w:p w:rsidR="003A4630" w:rsidRPr="003A4630" w:rsidRDefault="003A4630" w:rsidP="003A4630">
      <w:pPr>
        <w:spacing w:before="100" w:beforeAutospacing="1" w:after="100" w:afterAutospacing="1" w:line="240" w:lineRule="auto"/>
        <w:ind w:firstLine="720"/>
        <w:jc w:val="both"/>
        <w:rPr>
          <w:rFonts w:eastAsia="Times New Roman" w:cstheme="minorHAnsi"/>
          <w:sz w:val="24"/>
          <w:szCs w:val="24"/>
          <w:lang w:eastAsia="en-GB"/>
        </w:rPr>
      </w:pPr>
      <w:r w:rsidRPr="003A4630">
        <w:rPr>
          <w:rFonts w:eastAsia="Times New Roman" w:cstheme="minorHAnsi"/>
          <w:b/>
          <w:bCs/>
          <w:sz w:val="24"/>
          <w:szCs w:val="24"/>
          <w:lang w:eastAsia="en-GB"/>
        </w:rPr>
        <w:t>ОСТАВЯ БЕЗ РАЗГЛЕЖДАНЕ</w:t>
      </w:r>
      <w:r w:rsidRPr="003A4630">
        <w:rPr>
          <w:rFonts w:eastAsia="Times New Roman" w:cstheme="minorHAnsi"/>
          <w:sz w:val="24"/>
          <w:szCs w:val="24"/>
          <w:lang w:eastAsia="en-GB"/>
        </w:rPr>
        <w:t xml:space="preserve"> жалбата на К. Т. К., от гр.В., против Решение № 279/04.10.2024г. на Комисията за защита от дискриминация, Петчленен разширен заседателен състав, </w:t>
      </w:r>
      <w:r w:rsidRPr="003A4630">
        <w:rPr>
          <w:rFonts w:eastAsia="Times New Roman" w:cstheme="minorHAnsi"/>
          <w:b/>
          <w:bCs/>
          <w:sz w:val="24"/>
          <w:szCs w:val="24"/>
          <w:lang w:eastAsia="en-GB"/>
        </w:rPr>
        <w:t>в частта</w:t>
      </w:r>
      <w:r w:rsidRPr="003A4630">
        <w:rPr>
          <w:rFonts w:eastAsia="Times New Roman" w:cstheme="minorHAnsi"/>
          <w:sz w:val="24"/>
          <w:szCs w:val="24"/>
          <w:lang w:eastAsia="en-GB"/>
        </w:rPr>
        <w:t xml:space="preserve">, в която </w:t>
      </w:r>
      <w:r w:rsidRPr="003A4630">
        <w:rPr>
          <w:rFonts w:eastAsia="Times New Roman" w:cstheme="minorHAnsi"/>
          <w:b/>
          <w:bCs/>
          <w:sz w:val="24"/>
          <w:szCs w:val="24"/>
          <w:lang w:eastAsia="en-GB"/>
        </w:rPr>
        <w:t>по т. ІІІ</w:t>
      </w:r>
      <w:r w:rsidRPr="003A4630">
        <w:rPr>
          <w:rFonts w:eastAsia="Times New Roman" w:cstheme="minorHAnsi"/>
          <w:sz w:val="24"/>
          <w:szCs w:val="24"/>
          <w:lang w:eastAsia="en-GB"/>
        </w:rPr>
        <w:t xml:space="preserve">. е дадена препоръка на К. на основание чл.47 т.6 от ЗЗДискр да се въздържа от изявления по адрес на Д. М. Л., представляващи „тормоз“ на основата на признаци „религия“, „етническа принадлежност“ и „произход“ и </w:t>
      </w:r>
      <w:r w:rsidRPr="003A4630">
        <w:rPr>
          <w:rFonts w:eastAsia="Times New Roman" w:cstheme="minorHAnsi"/>
          <w:b/>
          <w:bCs/>
          <w:sz w:val="24"/>
          <w:szCs w:val="24"/>
          <w:lang w:eastAsia="en-GB"/>
        </w:rPr>
        <w:t>ПРЕКРАТЯВА</w:t>
      </w:r>
      <w:r w:rsidRPr="003A4630">
        <w:rPr>
          <w:rFonts w:eastAsia="Times New Roman" w:cstheme="minorHAnsi"/>
          <w:sz w:val="24"/>
          <w:szCs w:val="24"/>
          <w:lang w:eastAsia="en-GB"/>
        </w:rPr>
        <w:t xml:space="preserve"> производството по адм. дело № 2647/2024г. по описа на Административен съд – Варна, в тази част.</w:t>
      </w:r>
    </w:p>
    <w:p w:rsidR="003A4630" w:rsidRPr="003A4630" w:rsidRDefault="003A4630" w:rsidP="003A4630">
      <w:pPr>
        <w:spacing w:before="100" w:beforeAutospacing="1" w:after="100" w:afterAutospacing="1" w:line="240" w:lineRule="auto"/>
        <w:ind w:firstLine="720"/>
        <w:jc w:val="both"/>
        <w:rPr>
          <w:rFonts w:eastAsia="Times New Roman" w:cstheme="minorHAnsi"/>
          <w:sz w:val="24"/>
          <w:szCs w:val="24"/>
          <w:lang w:eastAsia="en-GB"/>
        </w:rPr>
      </w:pPr>
      <w:r w:rsidRPr="003A4630">
        <w:rPr>
          <w:rFonts w:eastAsia="Times New Roman" w:cstheme="minorHAnsi"/>
          <w:sz w:val="24"/>
          <w:szCs w:val="24"/>
          <w:lang w:eastAsia="en-GB"/>
        </w:rPr>
        <w:t> </w:t>
      </w:r>
    </w:p>
    <w:p w:rsidR="003A4630" w:rsidRPr="003A4630" w:rsidRDefault="003A4630" w:rsidP="003A4630">
      <w:pPr>
        <w:spacing w:before="100" w:beforeAutospacing="1" w:after="100" w:afterAutospacing="1" w:line="240" w:lineRule="auto"/>
        <w:ind w:firstLine="720"/>
        <w:jc w:val="both"/>
        <w:rPr>
          <w:rFonts w:eastAsia="Times New Roman" w:cstheme="minorHAnsi"/>
          <w:sz w:val="24"/>
          <w:szCs w:val="24"/>
          <w:lang w:eastAsia="en-GB"/>
        </w:rPr>
      </w:pPr>
      <w:r w:rsidRPr="003A4630">
        <w:rPr>
          <w:rFonts w:eastAsia="Times New Roman" w:cstheme="minorHAnsi"/>
          <w:b/>
          <w:bCs/>
          <w:sz w:val="24"/>
          <w:szCs w:val="24"/>
          <w:lang w:eastAsia="en-GB"/>
        </w:rPr>
        <w:t xml:space="preserve">ОТХВЪРЛЯ </w:t>
      </w:r>
      <w:r w:rsidRPr="003A4630">
        <w:rPr>
          <w:rFonts w:eastAsia="Times New Roman" w:cstheme="minorHAnsi"/>
          <w:sz w:val="24"/>
          <w:szCs w:val="24"/>
          <w:lang w:eastAsia="en-GB"/>
        </w:rPr>
        <w:t xml:space="preserve">жалбата на К. Т. К., от гр.В., против Решение № 279/04.10.2024г. на Комисията за защита от дискриминация, Петчленен разширен заседателен състав, </w:t>
      </w:r>
      <w:r w:rsidRPr="003A4630">
        <w:rPr>
          <w:rFonts w:eastAsia="Times New Roman" w:cstheme="minorHAnsi"/>
          <w:b/>
          <w:bCs/>
          <w:sz w:val="24"/>
          <w:szCs w:val="24"/>
          <w:lang w:eastAsia="en-GB"/>
        </w:rPr>
        <w:t>в частта</w:t>
      </w:r>
      <w:r w:rsidRPr="003A4630">
        <w:rPr>
          <w:rFonts w:eastAsia="Times New Roman" w:cstheme="minorHAnsi"/>
          <w:sz w:val="24"/>
          <w:szCs w:val="24"/>
          <w:lang w:eastAsia="en-GB"/>
        </w:rPr>
        <w:t xml:space="preserve">, в която </w:t>
      </w:r>
      <w:r w:rsidRPr="003A4630">
        <w:rPr>
          <w:rFonts w:eastAsia="Times New Roman" w:cstheme="minorHAnsi"/>
          <w:b/>
          <w:bCs/>
          <w:sz w:val="24"/>
          <w:szCs w:val="24"/>
          <w:lang w:eastAsia="en-GB"/>
        </w:rPr>
        <w:t>по т.І</w:t>
      </w:r>
      <w:r w:rsidRPr="003A4630">
        <w:rPr>
          <w:rFonts w:eastAsia="Times New Roman" w:cstheme="minorHAnsi"/>
          <w:sz w:val="24"/>
          <w:szCs w:val="24"/>
          <w:lang w:eastAsia="en-GB"/>
        </w:rPr>
        <w:t xml:space="preserve">. е установено по отношение на Д. М. Л., осъществена от К. дискриминация под формата на „тормоз“ на основата на признаци „религия“, „етническа принадлежност“ и „произход“ по чл.4 ал.1 от ЗЗДискр. </w:t>
      </w:r>
      <w:r w:rsidRPr="003A4630">
        <w:rPr>
          <w:rFonts w:eastAsia="Times New Roman" w:cstheme="minorHAnsi"/>
          <w:b/>
          <w:bCs/>
          <w:sz w:val="24"/>
          <w:szCs w:val="24"/>
          <w:lang w:eastAsia="en-GB"/>
        </w:rPr>
        <w:t>и</w:t>
      </w:r>
      <w:r w:rsidRPr="003A4630">
        <w:rPr>
          <w:rFonts w:eastAsia="Times New Roman" w:cstheme="minorHAnsi"/>
          <w:sz w:val="24"/>
          <w:szCs w:val="24"/>
          <w:lang w:eastAsia="en-GB"/>
        </w:rPr>
        <w:t xml:space="preserve"> </w:t>
      </w:r>
      <w:r w:rsidRPr="003A4630">
        <w:rPr>
          <w:rFonts w:eastAsia="Times New Roman" w:cstheme="minorHAnsi"/>
          <w:b/>
          <w:bCs/>
          <w:sz w:val="24"/>
          <w:szCs w:val="24"/>
          <w:lang w:eastAsia="en-GB"/>
        </w:rPr>
        <w:t>по т. ІІ</w:t>
      </w:r>
      <w:r w:rsidRPr="003A4630">
        <w:rPr>
          <w:rFonts w:eastAsia="Times New Roman" w:cstheme="minorHAnsi"/>
          <w:sz w:val="24"/>
          <w:szCs w:val="24"/>
          <w:lang w:eastAsia="en-GB"/>
        </w:rPr>
        <w:t>.е дадено задължително предписание на К. на осн.чл.47 ал.4 от ЗЗдискр да премахне от профила си във Фейсбук разгледаните в производството шест публикации, както и да извърши филтър на направените коментари и да премахне тези от тях, които са дискриминационни и въплъщават слово на омраза.</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bookmarkStart w:id="1" w:name="_Hlk191643110"/>
      <w:bookmarkEnd w:id="1"/>
      <w:r w:rsidRPr="003A4630">
        <w:rPr>
          <w:rFonts w:eastAsia="Times New Roman" w:cstheme="minorHAnsi"/>
          <w:b/>
          <w:bCs/>
          <w:sz w:val="24"/>
          <w:szCs w:val="24"/>
          <w:lang w:eastAsia="en-GB"/>
        </w:rPr>
        <w:t>ОСЪЖДА</w:t>
      </w:r>
      <w:r w:rsidRPr="003A4630">
        <w:rPr>
          <w:rFonts w:eastAsia="Times New Roman" w:cstheme="minorHAnsi"/>
          <w:sz w:val="24"/>
          <w:szCs w:val="24"/>
          <w:lang w:eastAsia="en-GB"/>
        </w:rPr>
        <w:t xml:space="preserve"> К. Т. К., [ЕГН], с постоянен адрес: гр. В., [жк] [адрес] да заплати в полза на Комисия за защита от дискриминация, сумата от 100 /сто/ лева, представляваща юрисконсултско възнаграждение.</w:t>
      </w:r>
    </w:p>
    <w:p w:rsidR="003A4630" w:rsidRPr="003A4630" w:rsidRDefault="003A4630" w:rsidP="003A4630">
      <w:pPr>
        <w:spacing w:before="100" w:beforeAutospacing="1" w:after="100" w:afterAutospacing="1" w:line="240" w:lineRule="auto"/>
        <w:ind w:firstLine="708"/>
        <w:jc w:val="both"/>
        <w:rPr>
          <w:rFonts w:eastAsia="Times New Roman" w:cstheme="minorHAnsi"/>
          <w:sz w:val="24"/>
          <w:szCs w:val="24"/>
          <w:lang w:eastAsia="en-GB"/>
        </w:rPr>
      </w:pPr>
      <w:r w:rsidRPr="003A4630">
        <w:rPr>
          <w:rFonts w:eastAsia="Times New Roman" w:cstheme="minorHAnsi"/>
          <w:sz w:val="24"/>
          <w:szCs w:val="24"/>
          <w:lang w:eastAsia="en-GB"/>
        </w:rPr>
        <w:t> </w:t>
      </w:r>
    </w:p>
    <w:p w:rsidR="003A4630" w:rsidRPr="003A4630" w:rsidRDefault="003A4630" w:rsidP="003A4630">
      <w:pPr>
        <w:spacing w:before="100" w:beforeAutospacing="1" w:after="100" w:afterAutospacing="1" w:line="240" w:lineRule="auto"/>
        <w:ind w:firstLine="720"/>
        <w:jc w:val="both"/>
        <w:rPr>
          <w:rFonts w:eastAsia="Times New Roman" w:cstheme="minorHAnsi"/>
          <w:sz w:val="24"/>
          <w:szCs w:val="24"/>
          <w:lang w:eastAsia="en-GB"/>
        </w:rPr>
      </w:pPr>
      <w:r w:rsidRPr="003A4630">
        <w:rPr>
          <w:rFonts w:eastAsia="Times New Roman" w:cstheme="minorHAnsi"/>
          <w:sz w:val="24"/>
          <w:szCs w:val="24"/>
          <w:lang w:eastAsia="en-GB"/>
        </w:rPr>
        <w:t>В частта, в която производството по делото е прекратено решението има характера на определение и подлежи на оспорване с частна жалба пред Върховен административен съд на Република България в 7-дневен срок от съобщаването му. В останалата част може да се обжалва с касационна жалба пред ВАС на РБ в 14-дневен срок от получаване на съобщението от страните.</w:t>
      </w:r>
    </w:p>
    <w:p w:rsidR="003A4630" w:rsidRPr="003A4630" w:rsidRDefault="003A4630" w:rsidP="003A4630">
      <w:pPr>
        <w:spacing w:before="100" w:beforeAutospacing="1" w:after="100" w:afterAutospacing="1" w:line="240" w:lineRule="auto"/>
        <w:ind w:firstLine="720"/>
        <w:jc w:val="both"/>
        <w:rPr>
          <w:rFonts w:eastAsia="Times New Roman" w:cstheme="minorHAnsi"/>
          <w:sz w:val="24"/>
          <w:szCs w:val="24"/>
          <w:lang w:eastAsia="en-GB"/>
        </w:rPr>
      </w:pPr>
      <w:r w:rsidRPr="003A4630">
        <w:rPr>
          <w:rFonts w:eastAsia="Times New Roman" w:cstheme="minorHAnsi"/>
          <w:sz w:val="24"/>
          <w:szCs w:val="24"/>
          <w:lang w:eastAsia="en-GB"/>
        </w:rPr>
        <w:t> </w:t>
      </w:r>
      <w:bookmarkStart w:id="2" w:name="_GoBack"/>
      <w:bookmarkEnd w:id="2"/>
      <w:r w:rsidRPr="003A4630">
        <w:rPr>
          <w:rFonts w:eastAsia="Times New Roman" w:cstheme="minorHAnsi"/>
          <w:sz w:val="24"/>
          <w:szCs w:val="24"/>
          <w:lang w:eastAsia="en-GB"/>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06"/>
        <w:gridCol w:w="3120"/>
      </w:tblGrid>
      <w:tr w:rsidR="003A4630" w:rsidRPr="003A4630" w:rsidTr="003A4630">
        <w:trPr>
          <w:tblCellSpacing w:w="15" w:type="dxa"/>
        </w:trPr>
        <w:tc>
          <w:tcPr>
            <w:tcW w:w="0" w:type="auto"/>
            <w:hideMark/>
          </w:tcPr>
          <w:p w:rsidR="003A4630" w:rsidRPr="003A4630" w:rsidRDefault="003A4630" w:rsidP="003A4630">
            <w:pPr>
              <w:spacing w:after="0" w:line="240" w:lineRule="auto"/>
              <w:jc w:val="right"/>
              <w:rPr>
                <w:rFonts w:eastAsia="Times New Roman" w:cstheme="minorHAnsi"/>
                <w:sz w:val="24"/>
                <w:szCs w:val="24"/>
                <w:lang w:eastAsia="en-GB"/>
              </w:rPr>
            </w:pPr>
            <w:r w:rsidRPr="003A4630">
              <w:rPr>
                <w:rFonts w:eastAsia="Times New Roman" w:cstheme="minorHAnsi"/>
                <w:b/>
                <w:bCs/>
                <w:caps/>
                <w:color w:val="000000"/>
                <w:sz w:val="24"/>
                <w:szCs w:val="24"/>
                <w:lang w:eastAsia="en-GB"/>
              </w:rPr>
              <w:t xml:space="preserve">Съдия: </w:t>
            </w:r>
          </w:p>
        </w:tc>
        <w:tc>
          <w:tcPr>
            <w:tcW w:w="3075" w:type="dxa"/>
            <w:vAlign w:val="center"/>
            <w:hideMark/>
          </w:tcPr>
          <w:p w:rsidR="003A4630" w:rsidRPr="003A4630" w:rsidRDefault="003A4630" w:rsidP="003A4630">
            <w:pPr>
              <w:spacing w:after="0" w:line="240" w:lineRule="auto"/>
              <w:rPr>
                <w:rFonts w:eastAsia="Times New Roman" w:cstheme="minorHAnsi"/>
                <w:sz w:val="24"/>
                <w:szCs w:val="24"/>
                <w:lang w:eastAsia="en-GB"/>
              </w:rPr>
            </w:pPr>
            <w:r w:rsidRPr="003A4630">
              <w:rPr>
                <w:rFonts w:eastAsia="Times New Roman" w:cstheme="minorHAnsi"/>
                <w:sz w:val="24"/>
                <w:szCs w:val="24"/>
                <w:lang w:eastAsia="en-GB"/>
              </w:rPr>
              <w:t> </w:t>
            </w:r>
          </w:p>
        </w:tc>
      </w:tr>
      <w:tr w:rsidR="003A4630" w:rsidRPr="003A4630" w:rsidTr="003A4630">
        <w:trPr>
          <w:tblCellSpacing w:w="15" w:type="dxa"/>
        </w:trPr>
        <w:tc>
          <w:tcPr>
            <w:tcW w:w="0" w:type="auto"/>
            <w:tcMar>
              <w:top w:w="300" w:type="dxa"/>
              <w:left w:w="15" w:type="dxa"/>
              <w:bottom w:w="15" w:type="dxa"/>
              <w:right w:w="15" w:type="dxa"/>
            </w:tcMar>
            <w:hideMark/>
          </w:tcPr>
          <w:p w:rsidR="003A4630" w:rsidRPr="003A4630" w:rsidRDefault="003A4630" w:rsidP="003A4630">
            <w:pPr>
              <w:spacing w:after="0" w:line="240" w:lineRule="auto"/>
              <w:rPr>
                <w:rFonts w:eastAsia="Times New Roman" w:cstheme="minorHAnsi"/>
                <w:sz w:val="24"/>
                <w:szCs w:val="24"/>
                <w:lang w:eastAsia="en-GB"/>
              </w:rPr>
            </w:pPr>
          </w:p>
        </w:tc>
        <w:tc>
          <w:tcPr>
            <w:tcW w:w="0" w:type="auto"/>
            <w:vAlign w:val="center"/>
            <w:hideMark/>
          </w:tcPr>
          <w:p w:rsidR="003A4630" w:rsidRPr="003A4630" w:rsidRDefault="003A4630" w:rsidP="003A4630">
            <w:pPr>
              <w:spacing w:after="0" w:line="240" w:lineRule="auto"/>
              <w:rPr>
                <w:rFonts w:eastAsia="Times New Roman" w:cstheme="minorHAnsi"/>
                <w:sz w:val="24"/>
                <w:szCs w:val="24"/>
                <w:lang w:eastAsia="en-GB"/>
              </w:rPr>
            </w:pPr>
          </w:p>
        </w:tc>
      </w:tr>
    </w:tbl>
    <w:p w:rsidR="00124C7A" w:rsidRPr="003A4630" w:rsidRDefault="00124C7A">
      <w:pPr>
        <w:rPr>
          <w:rFonts w:cstheme="minorHAnsi"/>
          <w:sz w:val="24"/>
          <w:szCs w:val="24"/>
        </w:rPr>
      </w:pPr>
    </w:p>
    <w:sectPr w:rsidR="00124C7A" w:rsidRPr="003A46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630"/>
    <w:rsid w:val="00124C7A"/>
    <w:rsid w:val="003A4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466D3"/>
  <w15:chartTrackingRefBased/>
  <w15:docId w15:val="{5CF03F02-9AF0-4860-8E5F-D9ECEB18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35235">
      <w:bodyDiv w:val="1"/>
      <w:marLeft w:val="0"/>
      <w:marRight w:val="0"/>
      <w:marTop w:val="0"/>
      <w:marBottom w:val="0"/>
      <w:divBdr>
        <w:top w:val="none" w:sz="0" w:space="0" w:color="auto"/>
        <w:left w:val="none" w:sz="0" w:space="0" w:color="auto"/>
        <w:bottom w:val="none" w:sz="0" w:space="0" w:color="auto"/>
        <w:right w:val="none" w:sz="0" w:space="0" w:color="auto"/>
      </w:divBdr>
      <w:divsChild>
        <w:div w:id="163594210">
          <w:marLeft w:val="0"/>
          <w:marRight w:val="0"/>
          <w:marTop w:val="0"/>
          <w:marBottom w:val="4"/>
          <w:divBdr>
            <w:top w:val="none" w:sz="0" w:space="0" w:color="auto"/>
            <w:left w:val="none" w:sz="0" w:space="0" w:color="auto"/>
            <w:bottom w:val="none" w:sz="0" w:space="0" w:color="auto"/>
            <w:right w:val="none" w:sz="0" w:space="0" w:color="auto"/>
          </w:divBdr>
        </w:div>
        <w:div w:id="1388382082">
          <w:marLeft w:val="0"/>
          <w:marRight w:val="0"/>
          <w:marTop w:val="450"/>
          <w:marBottom w:val="30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7865</Words>
  <Characters>44837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1</cp:revision>
  <dcterms:created xsi:type="dcterms:W3CDTF">2025-03-19T07:10:00Z</dcterms:created>
  <dcterms:modified xsi:type="dcterms:W3CDTF">2025-03-19T07:14:00Z</dcterms:modified>
</cp:coreProperties>
</file>